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Streamlining IT Procurement: Automating Standard Laptop Orders with Flow Designer</w:t>
      </w:r>
    </w:p>
    <w:p>
      <w:pPr>
        <w:spacing w:after="280"/>
        <w:jc w:val="center"/>
      </w:pPr>
      <w:r>
        <w:rPr>
          <w:b/>
          <w:sz w:val="32"/>
        </w:rPr>
        <w:t>5. Project Development Phase</w:t>
      </w:r>
    </w:p>
    <w:p>
      <w:pPr>
        <w:spacing w:after="160" w:line="276" w:lineRule="auto"/>
        <w:jc w:val="both"/>
      </w:pPr>
      <w:r>
        <w:rPr>
          <w:sz w:val="28"/>
        </w:rPr>
        <w:t>The development phase implements the planned automation in ServiceNow. The main development component is a Flow Designer flow named “Standard laptop task”. The flow is created under the Global application and is configured to run as the System user.</w:t>
      </w:r>
    </w:p>
    <w:p>
      <w:pPr>
        <w:spacing w:after="160" w:line="276" w:lineRule="auto"/>
        <w:jc w:val="both"/>
      </w:pPr>
      <w:r>
        <w:rPr>
          <w:sz w:val="28"/>
        </w:rPr>
        <w:t>A Service Catalog trigger is added to the flow. Under Actions, the Create Catalog Task action is selected. The Requested Item Record is dragged into the Request Item field, and the table is automatically populated as Catalog Task.</w:t>
      </w:r>
    </w:p>
    <w:p>
      <w:pPr>
        <w:spacing w:after="160" w:line="276" w:lineRule="auto"/>
        <w:jc w:val="both"/>
      </w:pPr>
      <w:r>
        <w:rPr>
          <w:sz w:val="28"/>
        </w:rPr>
        <w:t>The catalog task is configured with the short description “Laptop need to Configured”. The description field is also given the value “Laptop need to Configured”. The Assignment group is set to Hardware, and the Approval field is set to Approved. The remaining fields are left at their default values.</w:t>
      </w:r>
    </w:p>
    <w:p>
      <w:pPr>
        <w:spacing w:after="160" w:line="276" w:lineRule="auto"/>
        <w:jc w:val="both"/>
      </w:pPr>
      <w:r>
        <w:rPr>
          <w:sz w:val="28"/>
        </w:rPr>
        <w:t>After configuring the action, the flow is saved and activated. The created flow is then assigned to the Standard Laptop service catalog item through its Process Engine settings by removing the remaining automations and adding the Standard Laptop Task flow.</w:t>
      </w:r>
    </w:p>
    <w:p>
      <w:pPr>
        <w:spacing w:after="160" w:line="276" w:lineRule="auto"/>
        <w:jc w:val="both"/>
      </w:pPr>
      <w:r>
        <w:rPr>
          <w:sz w:val="28"/>
        </w:rPr>
        <w:t>This development implementation creates the intended connection between an approved Standard Laptop service request and the catalog task required for laptop configuration.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