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7. Project Documentation Phase</w:t>
      </w:r>
    </w:p>
    <w:p>
      <w:pPr>
        <w:spacing w:after="160" w:line="276" w:lineRule="auto"/>
        <w:jc w:val="both"/>
      </w:pPr>
      <w:r>
        <w:rPr>
          <w:sz w:val="28"/>
        </w:rPr>
        <w:t>The project documentation records the purpose, workflow, configuration, and outcome of the ServiceNow automation. The project addresses inefficiencies in the standard laptop procurement process and documents the use of Flow Designer to automate catalog task creation.</w:t>
      </w:r>
    </w:p>
    <w:p>
      <w:pPr>
        <w:spacing w:after="160" w:line="276" w:lineRule="auto"/>
        <w:jc w:val="both"/>
      </w:pPr>
      <w:r>
        <w:rPr>
          <w:sz w:val="28"/>
        </w:rPr>
        <w:t>The documented project objective is to provide timely configuration for standard laptop requests, reduce manual intervention and potential errors, improve resource utilisation, and enhance efficiency and productivity in IT procurement operations.</w:t>
      </w:r>
    </w:p>
    <w:p>
      <w:pPr>
        <w:spacing w:after="160" w:line="276" w:lineRule="auto"/>
        <w:jc w:val="both"/>
      </w:pPr>
      <w:r>
        <w:rPr>
          <w:sz w:val="28"/>
        </w:rPr>
        <w:t>The implementation documentation includes the creation of the Standard laptop task flow, its Service Catalog trigger, and the Create Catalog Task action. It records the use of the Requested Item Record, the Catalog Task table, the short description, the Hardware assignment group, and the Approved approval value.</w:t>
      </w:r>
    </w:p>
    <w:p>
      <w:pPr>
        <w:spacing w:after="160" w:line="276" w:lineRule="auto"/>
        <w:jc w:val="both"/>
      </w:pPr>
      <w:r>
        <w:rPr>
          <w:sz w:val="28"/>
        </w:rPr>
        <w:t>The documentation also records how the flow is assigned to the Standard Laptop service catalog item through Maintain Items and Process Engine. The request and approval procedure and the final Catalog Tasks verification are included as part of the documented process.</w:t>
      </w:r>
    </w:p>
    <w:p>
      <w:pPr>
        <w:spacing w:after="160" w:line="276" w:lineRule="auto"/>
        <w:jc w:val="both"/>
      </w:pPr>
      <w:r>
        <w:rPr>
          <w:sz w:val="28"/>
        </w:rPr>
        <w:t>The final project conclusion states that automating the standard laptop procurement process with ServiceNow Flow Designer reduces manual overhead, supports timely configuration, improves resource allocation, and provides a more efficient user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