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C40" w:rsidRDefault="00000000">
      <w:pPr>
        <w:pStyle w:val="Standard"/>
        <w:jc w:val="center"/>
        <w:rPr>
          <w:rFonts w:hint="eastAsia"/>
        </w:rPr>
      </w:pPr>
      <w:r>
        <w:t xml:space="preserve">МОСКОВСКИЙ ФИЗИКО-ТЕХНИЧЕСКИЙ </w:t>
      </w:r>
      <w:proofErr w:type="gramStart"/>
      <w:r>
        <w:t>ИНСТИТУТ(</w:t>
      </w:r>
      <w:proofErr w:type="gramEnd"/>
      <w:r>
        <w:t>НАЦИОНАЛЬНЫЙ ГОСУДАРСТВЕННЫЙ УНИВЕРСИТЕТ)</w:t>
      </w: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645C40">
      <w:pPr>
        <w:pStyle w:val="Standard"/>
        <w:jc w:val="center"/>
        <w:rPr>
          <w:rFonts w:hint="eastAsia"/>
        </w:rPr>
      </w:pPr>
    </w:p>
    <w:p w:rsidR="00645C40" w:rsidRDefault="00000000">
      <w:pPr>
        <w:pStyle w:val="Standard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Эксперимент по исследованию процесса заряда и разряда конденсатора в RC-цепи.</w:t>
      </w: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645C40">
      <w:pPr>
        <w:pStyle w:val="Standard"/>
        <w:jc w:val="center"/>
        <w:rPr>
          <w:rFonts w:hint="eastAsia"/>
          <w:sz w:val="44"/>
          <w:szCs w:val="44"/>
        </w:rPr>
      </w:pPr>
    </w:p>
    <w:p w:rsidR="00645C40" w:rsidRDefault="00000000">
      <w:pPr>
        <w:pStyle w:val="Standard"/>
        <w:jc w:val="right"/>
        <w:rPr>
          <w:rFonts w:hint="eastAsia"/>
          <w:sz w:val="30"/>
          <w:szCs w:val="30"/>
        </w:rPr>
      </w:pPr>
      <w:r>
        <w:rPr>
          <w:sz w:val="30"/>
          <w:szCs w:val="30"/>
        </w:rPr>
        <w:t>Выполнил</w:t>
      </w:r>
      <w:r w:rsidR="009A5C95">
        <w:rPr>
          <w:sz w:val="30"/>
          <w:szCs w:val="30"/>
        </w:rPr>
        <w:t>а</w:t>
      </w:r>
      <w:r>
        <w:rPr>
          <w:sz w:val="30"/>
          <w:szCs w:val="30"/>
        </w:rPr>
        <w:t>:</w:t>
      </w:r>
    </w:p>
    <w:p w:rsidR="00645C40" w:rsidRDefault="009A5C95">
      <w:pPr>
        <w:pStyle w:val="Standard"/>
        <w:jc w:val="right"/>
        <w:rPr>
          <w:rFonts w:hint="eastAsia"/>
          <w:sz w:val="30"/>
          <w:szCs w:val="30"/>
        </w:rPr>
      </w:pPr>
      <w:r>
        <w:rPr>
          <w:sz w:val="30"/>
          <w:szCs w:val="30"/>
        </w:rPr>
        <w:t>Полонская Алина</w:t>
      </w:r>
      <w:r w:rsidR="00000000">
        <w:rPr>
          <w:sz w:val="30"/>
          <w:szCs w:val="30"/>
        </w:rPr>
        <w:t>, Б01-40</w:t>
      </w:r>
      <w:r>
        <w:rPr>
          <w:sz w:val="30"/>
          <w:szCs w:val="30"/>
        </w:rPr>
        <w:t>5</w:t>
      </w: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right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645C40">
      <w:pPr>
        <w:pStyle w:val="Standard"/>
        <w:jc w:val="center"/>
        <w:rPr>
          <w:rFonts w:hint="eastAsia"/>
          <w:sz w:val="30"/>
          <w:szCs w:val="30"/>
        </w:rPr>
      </w:pPr>
    </w:p>
    <w:p w:rsidR="00645C40" w:rsidRDefault="00000000">
      <w:pPr>
        <w:pStyle w:val="Standard"/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Долгопрудный, 2025</w:t>
      </w:r>
    </w:p>
    <w:p w:rsidR="00645C40" w:rsidRDefault="00645C40">
      <w:pPr>
        <w:pStyle w:val="Heading1"/>
        <w:sectPr w:rsidR="00645C40">
          <w:footerReference w:type="default" r:id="rId7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645C40" w:rsidRDefault="00000000">
      <w:pPr>
        <w:pStyle w:val="ContentsHeading"/>
        <w:tabs>
          <w:tab w:val="right" w:leader="dot" w:pos="9360"/>
        </w:tabs>
      </w:pPr>
      <w:r>
        <w:rPr>
          <w:sz w:val="36"/>
          <w:szCs w:val="36"/>
        </w:rPr>
        <w:lastRenderedPageBreak/>
        <w:fldChar w:fldCharType="begin"/>
      </w:r>
      <w:r>
        <w:instrText xml:space="preserve"> TOC \o "1-9" \u \l 1-9 \h </w:instrText>
      </w:r>
      <w:r>
        <w:rPr>
          <w:sz w:val="36"/>
          <w:szCs w:val="36"/>
        </w:rPr>
        <w:fldChar w:fldCharType="separate"/>
      </w:r>
      <w:r>
        <w:t>Оглавление</w:t>
      </w:r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r:id="rId8" w:history="1">
        <w:r>
          <w:t>1. Введение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r:id="rId9" w:history="1">
        <w:r>
          <w:t>1.1. Цели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r:id="rId10" w:history="1">
        <w:r>
          <w:t>1.2. Задачи</w:t>
        </w:r>
        <w:r>
          <w:tab/>
          <w:t>3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r:id="rId11" w:history="1">
        <w:r>
          <w:t>2. Теория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r:id="rId12" w:history="1">
        <w:r>
          <w:t>2.1. Термины и определения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r:id="rId13" w:history="1">
        <w:r>
          <w:t>2.2. Физическая система</w:t>
        </w:r>
        <w:r>
          <w:tab/>
          <w:t>3</w:t>
        </w:r>
      </w:hyperlink>
    </w:p>
    <w:p w:rsidR="00645C40" w:rsidRDefault="00000000">
      <w:pPr>
        <w:pStyle w:val="Contents2"/>
        <w:tabs>
          <w:tab w:val="clear" w:pos="9638"/>
          <w:tab w:val="right" w:leader="dot" w:pos="9637"/>
        </w:tabs>
        <w:rPr>
          <w:rFonts w:hint="eastAsia"/>
        </w:rPr>
      </w:pPr>
      <w:hyperlink r:id="rId14" w:history="1">
        <w:r>
          <w:t>2.3. Экспериментальная установка</w:t>
        </w:r>
        <w:r>
          <w:tab/>
          <w:t>4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r:id="rId15" w:history="1">
        <w:r>
          <w:t>3. Программа и методика измерений</w:t>
        </w:r>
        <w:r>
          <w:tab/>
          <w:t>4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r:id="rId16" w:history="1">
        <w:r>
          <w:t>4. Обработка данных</w:t>
        </w:r>
        <w:r>
          <w:tab/>
          <w:t>4</w:t>
        </w:r>
      </w:hyperlink>
    </w:p>
    <w:p w:rsidR="00645C40" w:rsidRDefault="00000000">
      <w:pPr>
        <w:pStyle w:val="Contents1"/>
        <w:tabs>
          <w:tab w:val="clear" w:pos="9638"/>
          <w:tab w:val="right" w:leader="dot" w:pos="9637"/>
        </w:tabs>
        <w:rPr>
          <w:rFonts w:hint="eastAsia"/>
        </w:rPr>
      </w:pPr>
      <w:hyperlink r:id="rId17" w:history="1">
        <w:r>
          <w:t>5. Результаты</w:t>
        </w:r>
        <w:r>
          <w:tab/>
          <w:t>5</w:t>
        </w:r>
      </w:hyperlink>
    </w:p>
    <w:p w:rsidR="00645C40" w:rsidRDefault="00000000">
      <w:pPr>
        <w:pStyle w:val="Textbody"/>
        <w:outlineLvl w:val="0"/>
        <w:sectPr w:rsidR="00645C40">
          <w:pgSz w:w="11906" w:h="16838"/>
          <w:pgMar w:top="1134" w:right="1134" w:bottom="1134" w:left="1134" w:header="720" w:footer="720" w:gutter="0"/>
          <w:cols w:space="720"/>
        </w:sectPr>
      </w:pPr>
      <w:r>
        <w:fldChar w:fldCharType="end"/>
      </w:r>
    </w:p>
    <w:p w:rsidR="00645C40" w:rsidRDefault="00645C40">
      <w:pPr>
        <w:pStyle w:val="Textbody"/>
      </w:pPr>
    </w:p>
    <w:p w:rsidR="00645C40" w:rsidRDefault="00000000">
      <w:pPr>
        <w:pStyle w:val="Heading1"/>
      </w:pPr>
      <w:bookmarkStart w:id="0" w:name="__RefHeading___Toc3_764670818"/>
      <w:r>
        <w:t>Введение</w:t>
      </w:r>
      <w:bookmarkEnd w:id="0"/>
    </w:p>
    <w:p w:rsidR="00645C40" w:rsidRDefault="00000000">
      <w:pPr>
        <w:pStyle w:val="Heading2"/>
      </w:pPr>
      <w:bookmarkStart w:id="1" w:name="__RefHeading___Toc5_764670818"/>
      <w:r>
        <w:t>Цели</w:t>
      </w:r>
      <w:bookmarkEnd w:id="1"/>
    </w:p>
    <w:p w:rsidR="00677006" w:rsidRPr="00677006" w:rsidRDefault="00677006" w:rsidP="00677006">
      <w:pPr>
        <w:pStyle w:val="Textbody"/>
      </w:pPr>
      <w:r>
        <w:t xml:space="preserve">Усвоить принципы автоматизированных измерений с применением </w:t>
      </w:r>
      <w:r>
        <w:t xml:space="preserve">программной обработки данных. Исследовать характеристики процессов заряда и разряда конденсаторов </w:t>
      </w:r>
      <w:r>
        <w:rPr>
          <w:lang w:val="en-US"/>
        </w:rPr>
        <w:t>RC</w:t>
      </w:r>
      <w:r w:rsidRPr="00677006">
        <w:t>- ц</w:t>
      </w:r>
      <w:r>
        <w:t>епочке.</w:t>
      </w:r>
    </w:p>
    <w:p w:rsidR="00645C40" w:rsidRDefault="00645C40">
      <w:pPr>
        <w:pStyle w:val="Textbody"/>
      </w:pPr>
    </w:p>
    <w:p w:rsidR="00645C40" w:rsidRDefault="00000000">
      <w:pPr>
        <w:pStyle w:val="Heading2"/>
      </w:pPr>
      <w:bookmarkStart w:id="2" w:name="__RefHeading___Toc7_764670818"/>
      <w:r>
        <w:t>Задачи</w:t>
      </w:r>
      <w:bookmarkEnd w:id="2"/>
    </w:p>
    <w:p w:rsidR="00645C40" w:rsidRDefault="00000000">
      <w:pPr>
        <w:pStyle w:val="Textbody"/>
      </w:pPr>
      <w:r>
        <w:t>Провести автоматизированные цифровые измерения напряжения на выходе RC-цепи во время зарядки и последующей разрядки конденсатора</w:t>
      </w:r>
      <w:r w:rsidR="00677006">
        <w:t xml:space="preserve">. Рассчитать частоту дискретизации, период измерений, шаг квантования. Визуализировать измерения с помощью графика зависимости напряжения от времени. </w:t>
      </w:r>
    </w:p>
    <w:p w:rsidR="00645C40" w:rsidRDefault="00000000">
      <w:pPr>
        <w:pStyle w:val="Heading1"/>
      </w:pPr>
      <w:bookmarkStart w:id="3" w:name="__RefHeading___Toc9_764670818"/>
      <w:r>
        <w:t>Теория</w:t>
      </w:r>
      <w:bookmarkEnd w:id="3"/>
    </w:p>
    <w:p w:rsidR="00645C40" w:rsidRDefault="00000000">
      <w:pPr>
        <w:pStyle w:val="Heading2"/>
      </w:pPr>
      <w:bookmarkStart w:id="4" w:name="__RefHeading___Toc11_764670818"/>
      <w:r>
        <w:t>Термины и определения</w:t>
      </w:r>
      <w:bookmarkEnd w:id="4"/>
    </w:p>
    <w:p w:rsidR="00645C40" w:rsidRDefault="00000000">
      <w:pPr>
        <w:pStyle w:val="Textbody"/>
      </w:pPr>
      <w:r>
        <w:t xml:space="preserve">Частота дискретизации — это частота, с которой происходит оцифровка, </w:t>
      </w:r>
      <w:proofErr w:type="gramStart"/>
      <w:r>
        <w:t xml:space="preserve">обработка,   </w:t>
      </w:r>
      <w:proofErr w:type="gramEnd"/>
      <w:r>
        <w:t>или конвертация сигнала из аналога в цифру.</w:t>
      </w:r>
    </w:p>
    <w:p w:rsidR="00645C40" w:rsidRDefault="00000000">
      <w:pPr>
        <w:pStyle w:val="Textbody"/>
      </w:pPr>
      <w:r>
        <w:t>Период измерений — интервал времени, в течение которого собирают данные сигнала для последующего анализа.</w:t>
      </w:r>
    </w:p>
    <w:p w:rsidR="00645C40" w:rsidRDefault="00000000">
      <w:pPr>
        <w:pStyle w:val="Textbody"/>
      </w:pPr>
      <w:r>
        <w:t>Динамический диапазон — характеристика устройства или системы, представляющая логарифм отношения максимального и минимального возможных значений величины входного параметра устройства.</w:t>
      </w:r>
    </w:p>
    <w:p w:rsidR="00645C40" w:rsidRDefault="00000000">
      <w:pPr>
        <w:pStyle w:val="Textbody"/>
      </w:pPr>
      <w:r>
        <w:t>Разрядность аналого-цифрового преобразователя (АЦП) характеризует количество разрядов двоичного кода, которые преобразователь может выдать на выходе. Измеряется в битах.</w:t>
      </w:r>
    </w:p>
    <w:p w:rsidR="00645C40" w:rsidRDefault="00000000">
      <w:pPr>
        <w:pStyle w:val="Textbody"/>
      </w:pPr>
      <w:r>
        <w:t xml:space="preserve">Шаг квантования в АЦП — это разность между двумя смежными значениями </w:t>
      </w:r>
      <w:proofErr w:type="spellStart"/>
      <w:r>
        <w:t>межкодовых</w:t>
      </w:r>
      <w:proofErr w:type="spellEnd"/>
      <w:r>
        <w:t xml:space="preserve"> переходов или единица младшего значащего разряда.</w:t>
      </w:r>
    </w:p>
    <w:p w:rsidR="00645C40" w:rsidRDefault="00000000">
      <w:pPr>
        <w:pStyle w:val="Textbody"/>
      </w:pPr>
      <w:r>
        <w:t>Аналого-цифровой преобразователь (АЦП) — это устройство, которое преобразует входной аналоговый сигнал в дискретный код (цифровой сигнал).</w:t>
      </w:r>
    </w:p>
    <w:p w:rsidR="00645C40" w:rsidRDefault="00000000">
      <w:pPr>
        <w:pStyle w:val="Heading2"/>
      </w:pPr>
      <w:bookmarkStart w:id="5" w:name="__RefHeading___Toc13_764670818"/>
      <w:r>
        <w:lastRenderedPageBreak/>
        <w:t>Физическая система</w:t>
      </w:r>
      <w:bookmarkEnd w:id="5"/>
    </w:p>
    <w:p w:rsidR="00645C40" w:rsidRDefault="00000000">
      <w:pPr>
        <w:pStyle w:val="Textbody"/>
      </w:pPr>
      <w:r>
        <w:t xml:space="preserve">В данной работе процесс зарядки и разрядки конденсатора исследуется с помощью получения зависимости напряжения на </w:t>
      </w:r>
      <w:proofErr w:type="spellStart"/>
      <w:r>
        <w:rPr>
          <w:lang w:val="en-US"/>
        </w:rPr>
        <w:t>troyka</w:t>
      </w:r>
      <w:proofErr w:type="spellEnd"/>
      <w:r w:rsidRPr="009A5C95">
        <w:t>-</w:t>
      </w:r>
      <w:r>
        <w:t>модуле при подаче на нее напряжения 3.3 В, после — 0 В. Зависимость напряжения от времени при этом описывается формулой (1).</w:t>
      </w:r>
    </w:p>
    <w:p w:rsidR="00645C40" w:rsidRDefault="00000000">
      <w:pPr>
        <w:pStyle w:val="a0"/>
      </w:pPr>
      <w:r>
        <w:tab/>
      </w:r>
      <m:oMath>
        <m: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-t</m:t>
                </m:r>
              </m:num>
              <m:den>
                <m:r>
                  <w:rPr>
                    <w:rFonts w:ascii="Cambria Math" w:hAnsi="Cambria Math"/>
                  </w:rPr>
                  <m:t>τ</m:t>
                </m:r>
              </m:den>
            </m:f>
          </m:sup>
        </m:sSup>
      </m:oMath>
      <w:r>
        <w:tab/>
        <w:t>(1)</w:t>
      </w:r>
    </w:p>
    <w:p w:rsidR="00645C40" w:rsidRDefault="00000000">
      <w:pPr>
        <w:pStyle w:val="a0"/>
      </w:pPr>
      <w:r>
        <w:tab/>
      </w:r>
      <m:oMath>
        <m:r>
          <w:rPr>
            <w:rFonts w:ascii="Cambria Math" w:hAnsi="Cambria Math"/>
          </w:rPr>
          <m:t>τ=RC</m:t>
        </m:r>
      </m:oMath>
      <w:r>
        <w:tab/>
        <w:t>(2)</w:t>
      </w:r>
    </w:p>
    <w:p w:rsidR="00645C40" w:rsidRDefault="00000000">
      <w:pPr>
        <w:pStyle w:val="Heading2"/>
      </w:pPr>
      <w:bookmarkStart w:id="6" w:name="__RefHeading___Toc15_764670818"/>
      <w:r>
        <w:t>Экспериментальная установка</w:t>
      </w:r>
      <w:bookmarkEnd w:id="6"/>
    </w:p>
    <w:p w:rsidR="00645C40" w:rsidRDefault="00000000">
      <w:pPr>
        <w:pStyle w:val="Textbody"/>
      </w:pPr>
      <w:proofErr w:type="spellStart"/>
      <w:r>
        <w:rPr>
          <w:lang w:val="en-US"/>
        </w:rPr>
        <w:t>Troyka</w:t>
      </w:r>
      <w:proofErr w:type="spellEnd"/>
      <w:r w:rsidRPr="009A5C95">
        <w:t>-</w:t>
      </w:r>
      <w:r>
        <w:t xml:space="preserve">модуль с </w:t>
      </w:r>
      <w:r>
        <w:rPr>
          <w:lang w:val="en-US"/>
        </w:rPr>
        <w:t>RC</w:t>
      </w:r>
      <w:r w:rsidRPr="009A5C95">
        <w:t>-</w:t>
      </w:r>
      <w:r>
        <w:t xml:space="preserve">цепью представлен на рис. (1). Взаимодействие с модулем происходит через </w:t>
      </w:r>
      <w:proofErr w:type="spellStart"/>
      <w:r>
        <w:rPr>
          <w:lang w:val="en-US"/>
        </w:rPr>
        <w:t>Rasberri</w:t>
      </w:r>
      <w:proofErr w:type="spellEnd"/>
      <w:r w:rsidRPr="009A5C95">
        <w:t>-</w:t>
      </w:r>
      <w:r>
        <w:rPr>
          <w:lang w:val="en-US"/>
        </w:rPr>
        <w:t>PI</w:t>
      </w:r>
      <w:r w:rsidRPr="009A5C95">
        <w:t>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645C40">
        <w:tblPrEx>
          <w:tblCellMar>
            <w:top w:w="0" w:type="dxa"/>
            <w:bottom w:w="0" w:type="dxa"/>
          </w:tblCellMar>
        </w:tblPrEx>
        <w:trPr>
          <w:trHeight w:val="4140"/>
        </w:trPr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C40" w:rsidRDefault="00000000">
            <w:pPr>
              <w:pStyle w:val="a"/>
            </w:pPr>
            <w:r>
              <w:rPr>
                <w:noProof/>
              </w:rPr>
              <w:drawing>
                <wp:inline distT="0" distB="0" distL="0" distR="0">
                  <wp:extent cx="2631600" cy="2178000"/>
                  <wp:effectExtent l="0" t="0" r="0" b="0"/>
                  <wp:docPr id="1758780154" name="Изображение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600" cy="21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5C40" w:rsidRDefault="00000000">
            <w:pPr>
              <w:pStyle w:val="Drawing"/>
            </w:pPr>
            <w:r>
              <w:t xml:space="preserve"> Рис. 1: Фото </w:t>
            </w:r>
            <w:proofErr w:type="spellStart"/>
            <w:r>
              <w:rPr>
                <w:lang w:val="en-US"/>
              </w:rPr>
              <w:t>troyka</w:t>
            </w:r>
            <w:proofErr w:type="spellEnd"/>
            <w:r w:rsidRPr="009A5C95">
              <w:t>-</w:t>
            </w:r>
            <w:r>
              <w:t xml:space="preserve">модуля с </w:t>
            </w:r>
            <w:r>
              <w:rPr>
                <w:lang w:val="en-US"/>
              </w:rPr>
              <w:t>RC</w:t>
            </w:r>
            <w:r w:rsidRPr="009A5C95">
              <w:t>-</w:t>
            </w:r>
            <w:r>
              <w:t>цепью.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5C40" w:rsidRDefault="00000000">
            <w:pPr>
              <w:pStyle w:val="Drawing"/>
            </w:pPr>
            <w:r>
              <w:rPr>
                <w:noProof/>
              </w:rPr>
              <w:drawing>
                <wp:inline distT="0" distB="0" distL="0" distR="0">
                  <wp:extent cx="2990159" cy="1674360"/>
                  <wp:effectExtent l="0" t="0" r="0" b="0"/>
                  <wp:docPr id="2009101306" name="Изображение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159" cy="1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Рис. 2: Схема </w:t>
            </w:r>
            <w:r>
              <w:rPr>
                <w:lang w:val="en-US"/>
              </w:rPr>
              <w:t>RC-</w:t>
            </w:r>
            <w:r>
              <w:t>цепи.</w:t>
            </w:r>
          </w:p>
        </w:tc>
      </w:tr>
    </w:tbl>
    <w:p w:rsidR="00645C40" w:rsidRDefault="00645C40">
      <w:pPr>
        <w:pStyle w:val="a"/>
      </w:pPr>
    </w:p>
    <w:p w:rsidR="00645C40" w:rsidRDefault="00645C40">
      <w:pPr>
        <w:pStyle w:val="a"/>
      </w:pPr>
    </w:p>
    <w:p w:rsidR="00645C40" w:rsidRDefault="00000000">
      <w:pPr>
        <w:pStyle w:val="Heading1"/>
      </w:pPr>
      <w:bookmarkStart w:id="7" w:name="__RefHeading___Toc17_764670818"/>
      <w:r>
        <w:t>Программа и методика измерений</w:t>
      </w:r>
      <w:bookmarkEnd w:id="7"/>
    </w:p>
    <w:p w:rsidR="00645C40" w:rsidRDefault="00000000">
      <w:pPr>
        <w:pStyle w:val="Textbody"/>
      </w:pPr>
      <w:r>
        <w:t xml:space="preserve">Сначала на </w:t>
      </w:r>
      <w:proofErr w:type="spellStart"/>
      <w:r>
        <w:rPr>
          <w:lang w:val="en-US"/>
        </w:rPr>
        <w:t>troyka</w:t>
      </w:r>
      <w:proofErr w:type="spellEnd"/>
      <w:r w:rsidRPr="009A5C95">
        <w:t>-</w:t>
      </w:r>
      <w:r>
        <w:t xml:space="preserve">модуль подается напряжение 3.3 В, далее с </w:t>
      </w:r>
      <w:proofErr w:type="spellStart"/>
      <w:r>
        <w:t>определеной</w:t>
      </w:r>
      <w:proofErr w:type="spellEnd"/>
      <w:r>
        <w:t xml:space="preserve"> частотой происходит АЦП-преобразование сигнала — выходного напряжения с модуля — и сохранение измерения в соответствующий массив, а также сохранения момента времени, соответствующего измерению. По достижении значения выходного напряжения в </w:t>
      </w:r>
      <w:r w:rsidRPr="009A5C95">
        <w:t xml:space="preserve">97% </w:t>
      </w:r>
      <w:r>
        <w:t>от максимального (2.6 В) подаем напряжение 0В, снова периодически обрабатываем выходной сигнал и ждем достижения значения выходного напряжения уже в 2% от максимального.</w:t>
      </w:r>
    </w:p>
    <w:p w:rsidR="00645C40" w:rsidRDefault="00000000">
      <w:pPr>
        <w:pStyle w:val="Heading1"/>
      </w:pPr>
      <w:bookmarkStart w:id="8" w:name="__RefHeading___Toc19_764670818"/>
      <w:r>
        <w:t>Обработка данных</w:t>
      </w:r>
      <w:bookmarkEnd w:id="8"/>
    </w:p>
    <w:p w:rsidR="00645C40" w:rsidRDefault="00000000">
      <w:pPr>
        <w:pStyle w:val="Textbody"/>
      </w:pPr>
      <w:r>
        <w:t xml:space="preserve">После по полученным данным строим график </w:t>
      </w:r>
      <w:r>
        <w:rPr>
          <w:lang w:val="en-US"/>
        </w:rPr>
        <w:t>U</w:t>
      </w:r>
      <w:r w:rsidRPr="009A5C95">
        <w:t>(</w:t>
      </w:r>
      <w:r>
        <w:rPr>
          <w:lang w:val="en-US"/>
        </w:rPr>
        <w:t>t</w:t>
      </w:r>
      <w:r w:rsidRPr="009A5C95">
        <w:t xml:space="preserve">) </w:t>
      </w:r>
      <w:r>
        <w:t>(рис.</w:t>
      </w:r>
      <w:r w:rsidR="00677006">
        <w:t xml:space="preserve"> 3</w:t>
      </w:r>
      <w:r>
        <w:t>)</w:t>
      </w:r>
      <w:r w:rsidRPr="009A5C95">
        <w:t>.</w:t>
      </w:r>
    </w:p>
    <w:p w:rsidR="00645C40" w:rsidRDefault="009A5C95">
      <w:pPr>
        <w:pStyle w:val="Drawing"/>
      </w:pPr>
      <w:r>
        <w:rPr>
          <w:noProof/>
        </w:rPr>
        <w:lastRenderedPageBreak/>
        <w:drawing>
          <wp:inline distT="0" distB="0" distL="0" distR="0">
            <wp:extent cx="6120130" cy="3937000"/>
            <wp:effectExtent l="0" t="0" r="1270" b="0"/>
            <wp:docPr id="60302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25149" name="Picture 6030251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40" w:rsidRDefault="00000000">
      <w:pPr>
        <w:pStyle w:val="Drawing"/>
      </w:pPr>
      <w:r>
        <w:t>Рис.  3: График зависимости напряжения на обкладках конденсатора от времени</w:t>
      </w:r>
    </w:p>
    <w:p w:rsidR="00645C40" w:rsidRDefault="00000000">
      <w:pPr>
        <w:pStyle w:val="Heading1"/>
      </w:pPr>
      <w:bookmarkStart w:id="9" w:name="__RefHeading___Toc21_764670818"/>
      <w:r>
        <w:t>Результаты</w:t>
      </w:r>
      <w:bookmarkEnd w:id="9"/>
    </w:p>
    <w:p w:rsidR="00645C40" w:rsidRDefault="00000000">
      <w:pPr>
        <w:pStyle w:val="Textbody"/>
      </w:pPr>
      <w:r>
        <w:t>Была исследована экспериментально и подтверждена теоретическая зависимость напряжения на обкладках конденсатора при его зарядке и разрядке при постоянном входном напряжении.</w:t>
      </w:r>
    </w:p>
    <w:sectPr w:rsidR="00645C40">
      <w:footerReference w:type="default" r:id="rId2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0A8F" w:rsidRDefault="00F20A8F">
      <w:pPr>
        <w:rPr>
          <w:rFonts w:hint="eastAsia"/>
        </w:rPr>
      </w:pPr>
      <w:r>
        <w:separator/>
      </w:r>
    </w:p>
  </w:endnote>
  <w:endnote w:type="continuationSeparator" w:id="0">
    <w:p w:rsidR="00F20A8F" w:rsidRDefault="00F20A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20B0604020202020204"/>
    <w:charset w:val="02"/>
    <w:family w:val="auto"/>
    <w:pitch w:val="default"/>
  </w:font>
  <w:font w:name="Liberation Mono">
    <w:panose1 w:val="020B0604020202020204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rPr>
        <w:rFonts w:hint="eastAsia"/>
      </w:rP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0A8F" w:rsidRDefault="00F20A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20A8F" w:rsidRDefault="00F20A8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F5654"/>
    <w:multiLevelType w:val="multilevel"/>
    <w:tmpl w:val="217049BE"/>
    <w:styleLink w:val="Outline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pStyle w:val="Heading2"/>
      <w:lvlText w:val="%1.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25223E54"/>
    <w:multiLevelType w:val="multilevel"/>
    <w:tmpl w:val="D62E4B06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num w:numId="1" w16cid:durableId="975841957">
    <w:abstractNumId w:val="0"/>
  </w:num>
  <w:num w:numId="2" w16cid:durableId="1354766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45C40"/>
    <w:rsid w:val="00592C12"/>
    <w:rsid w:val="00645C40"/>
    <w:rsid w:val="00677006"/>
    <w:rsid w:val="009A5C95"/>
    <w:rsid w:val="00F2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1B08A"/>
  <w15:docId w15:val="{BF4BA2E7-F7CF-6D44-9D37-F5ECDD33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numPr>
        <w:numId w:val="1"/>
      </w:numPr>
      <w:spacing w:before="240" w:after="120"/>
      <w:outlineLvl w:val="0"/>
    </w:pPr>
    <w:rPr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Cs/>
      <w:szCs w:val="32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eastAsia="NSimSun" w:hAnsi="Liberation Serif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line="360" w:lineRule="auto"/>
      <w:ind w:left="283" w:right="283" w:firstLine="567"/>
    </w:pPr>
    <w:rPr>
      <w:rFonts w:ascii="Arial" w:eastAsia="Microsoft YaHei" w:hAnsi="Arial"/>
      <w:b/>
      <w:sz w:val="32"/>
      <w:szCs w:val="28"/>
    </w:rPr>
  </w:style>
  <w:style w:type="paragraph" w:customStyle="1" w:styleId="Textbody">
    <w:name w:val="Text body"/>
    <w:basedOn w:val="Standard"/>
    <w:pPr>
      <w:spacing w:line="360" w:lineRule="auto"/>
      <w:ind w:firstLine="567"/>
      <w:jc w:val="both"/>
    </w:pPr>
    <w:rPr>
      <w:rFonts w:ascii="Times New Roman" w:eastAsia="Times New Roman" w:hAnsi="Times New Roman" w:cs="Times New Roman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rawing">
    <w:name w:val="Drawing"/>
    <w:basedOn w:val="Caption"/>
    <w:pPr>
      <w:spacing w:before="0" w:after="0" w:line="360" w:lineRule="auto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Cs/>
      <w:sz w:val="56"/>
      <w:szCs w:val="56"/>
    </w:rPr>
  </w:style>
  <w:style w:type="paragraph" w:styleId="IndexHeading">
    <w:name w:val="index heading"/>
    <w:basedOn w:val="Heading"/>
    <w:pPr>
      <w:suppressLineNumbers/>
      <w:ind w:left="0" w:firstLine="0"/>
    </w:pPr>
    <w:rPr>
      <w:bCs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Signature">
    <w:name w:val="Signature"/>
    <w:basedOn w:val="Standard"/>
    <w:pPr>
      <w:suppressLineNumbers/>
      <w:jc w:val="center"/>
    </w:pPr>
  </w:style>
  <w:style w:type="paragraph" w:customStyle="1" w:styleId="a">
    <w:name w:val="Абзац рисунка"/>
    <w:basedOn w:val="Textbody"/>
    <w:pPr>
      <w:jc w:val="center"/>
    </w:pPr>
  </w:style>
  <w:style w:type="paragraph" w:customStyle="1" w:styleId="a0">
    <w:name w:val="Абзац формулы"/>
    <w:basedOn w:val="Textbody"/>
    <w:pPr>
      <w:tabs>
        <w:tab w:val="center" w:pos="4524"/>
        <w:tab w:val="left" w:pos="9084"/>
      </w:tabs>
      <w:ind w:firstLine="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3_764670818" TargetMode="External"/><Relationship Id="rId13" Type="http://schemas.openxmlformats.org/officeDocument/2006/relationships/hyperlink" Target="#__RefHeading___Toc13_764670818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footer" Target="footer1.xml"/><Relationship Id="rId12" Type="http://schemas.openxmlformats.org/officeDocument/2006/relationships/hyperlink" Target="#__RefHeading___Toc11_764670818" TargetMode="External"/><Relationship Id="rId17" Type="http://schemas.openxmlformats.org/officeDocument/2006/relationships/hyperlink" Target="#__RefHeading___Toc21_764670818" TargetMode="External"/><Relationship Id="rId2" Type="http://schemas.openxmlformats.org/officeDocument/2006/relationships/styles" Target="styles.xml"/><Relationship Id="rId16" Type="http://schemas.openxmlformats.org/officeDocument/2006/relationships/hyperlink" Target="#__RefHeading___Toc19_764670818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9_764670818" TargetMode="External"/><Relationship Id="rId5" Type="http://schemas.openxmlformats.org/officeDocument/2006/relationships/footnotes" Target="footnotes.xml"/><Relationship Id="rId15" Type="http://schemas.openxmlformats.org/officeDocument/2006/relationships/hyperlink" Target="#__RefHeading___Toc17_764670818" TargetMode="External"/><Relationship Id="rId23" Type="http://schemas.openxmlformats.org/officeDocument/2006/relationships/theme" Target="theme/theme1.xml"/><Relationship Id="rId10" Type="http://schemas.openxmlformats.org/officeDocument/2006/relationships/hyperlink" Target="#__RefHeading___Toc7_764670818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#__RefHeading___Toc5_764670818" TargetMode="External"/><Relationship Id="rId14" Type="http://schemas.openxmlformats.org/officeDocument/2006/relationships/hyperlink" Target="#__RefHeading___Toc15_76467081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Алина Полонская</cp:lastModifiedBy>
  <cp:revision>2</cp:revision>
  <dcterms:created xsi:type="dcterms:W3CDTF">2025-05-13T20:59:00Z</dcterms:created>
  <dcterms:modified xsi:type="dcterms:W3CDTF">2025-05-13T20:59:00Z</dcterms:modified>
</cp:coreProperties>
</file>