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Sample</w:t>
      </w:r>
      <w:r>
        <w:t xml:space="preserve"> </w:t>
      </w:r>
      <w:r>
        <w:t xml:space="preserve">size</w:t>
      </w:r>
      <w:r>
        <w:t xml:space="preserve"> </w:t>
      </w:r>
      <w:r>
        <w:t xml:space="preserve">calculation</w:t>
      </w:r>
    </w:p>
    <w:p>
      <w:pPr>
        <w:pStyle w:val="Author"/>
      </w:pPr>
      <w:r>
        <w:t xml:space="preserve">Anastasiia</w:t>
      </w:r>
      <w:r>
        <w:t xml:space="preserve"> </w:t>
      </w:r>
      <w:r>
        <w:t xml:space="preserve">Potamoshneva</w:t>
      </w:r>
    </w:p>
    <w:p>
      <w:pPr>
        <w:pStyle w:val="FirstParagraph"/>
      </w:pPr>
      <w:r>
        <w:t xml:space="preserve">Рассчитайте объёмы выборок для следующих клинических исследований.</w:t>
      </w:r>
      <w:r>
        <w:t xml:space="preserve"> </w:t>
      </w:r>
      <w:r>
        <w:t xml:space="preserve">Опишите предположения, которые были выдвинуты при анализе.</w:t>
      </w:r>
      <w:r>
        <w:t xml:space="preserve"> </w:t>
      </w:r>
      <w:r>
        <w:t xml:space="preserve">Воспользуйтесь примером оформления результатов, который приведён далее.</w:t>
      </w:r>
      <w:r>
        <w:t xml:space="preserve"> </w:t>
      </w:r>
      <w:r>
        <w:t xml:space="preserve">Частота выбывания пациентов в ходе исследования – 20%. Частота выбывания пациентов в ходе</w:t>
      </w:r>
      <w:r>
        <w:t xml:space="preserve"> </w:t>
      </w:r>
      <w:r>
        <w:t xml:space="preserve">скрининга – 10%.</w:t>
      </w:r>
    </w:p>
    <w:bookmarkStart w:id="20" w:name="задание-1"/>
    <w:p>
      <w:pPr>
        <w:pStyle w:val="Heading1"/>
      </w:pPr>
      <w:r>
        <w:t xml:space="preserve">Задание 1</w:t>
      </w:r>
    </w:p>
    <w:p>
      <w:pPr>
        <w:numPr>
          <w:ilvl w:val="0"/>
          <w:numId w:val="1001"/>
        </w:numPr>
        <w:pStyle w:val="Compact"/>
      </w:pPr>
      <w:r>
        <w:t xml:space="preserve">Исследование не меньшей эффективности препарата T в сравнении с препаратом R в лечении</w:t>
      </w:r>
      <w:r>
        <w:t xml:space="preserve"> </w:t>
      </w:r>
      <w:r>
        <w:t xml:space="preserve">хронической обструктивной болезни лёгких (ХОБЛ). Первичная конечная точка – абсолютное</w:t>
      </w:r>
      <w:r>
        <w:t xml:space="preserve"> </w:t>
      </w:r>
      <w:r>
        <w:t xml:space="preserve">увеличение индекса Тиффно (ОФВ1/ЖЕЛ) за 3 месяца терапии в сравнении со значениями на</w:t>
      </w:r>
      <w:r>
        <w:t xml:space="preserve"> </w:t>
      </w:r>
      <w:r>
        <w:t xml:space="preserve">1 визите.</w:t>
      </w:r>
      <w:r>
        <w:t xml:space="preserve"> </w:t>
      </w:r>
      <w:r>
        <w:t xml:space="preserve">Из литературных данных известно, что для препарата R абсолютный прирост индекса за 3</w:t>
      </w:r>
      <w:r>
        <w:t xml:space="preserve"> </w:t>
      </w:r>
      <w:r>
        <w:t xml:space="preserve">месяца в среднем (M±SD) составлял 7.2 ± 3.1%. Предлагаемая граница не меньшей</w:t>
      </w:r>
      <w:r>
        <w:t xml:space="preserve"> </w:t>
      </w:r>
      <w:r>
        <w:t xml:space="preserve">эффективности – 2 %.</w:t>
      </w:r>
    </w:p>
    <w:p>
      <w:pPr>
        <w:pStyle w:val="FirstParagraph"/>
      </w:pPr>
      <w:r>
        <w:t xml:space="preserve">Статистическая гипотеза не меньшей эффективности в исследовании была сформулирована следующим образом:</w:t>
      </w:r>
    </w:p>
    <w:p>
      <w:pPr>
        <w:pStyle w:val="BodyText"/>
      </w:pPr>
      <w:r>
        <w:t xml:space="preserve">H0: MT-MR &lt;= d</w:t>
      </w:r>
    </w:p>
    <w:p>
      <w:pPr>
        <w:pStyle w:val="BodyText"/>
      </w:pPr>
      <w:r>
        <w:t xml:space="preserve">Ha: MT-MR &gt; d</w:t>
      </w:r>
    </w:p>
    <w:p>
      <w:pPr>
        <w:pStyle w:val="BodyText"/>
      </w:pPr>
      <w:r>
        <w:t xml:space="preserve">Где MT - среднее абсолютное увеличение индекса Тиффно за 3 месяца по сравнению со значениями на 1 визите для тестового препарата, MR - среднее абсолютное увеличение индекса Тиффно за 3 месяца по сравнению со значениями на 1 визите для референсного препарата, d - граница не меньшей эффективности (-2%).</w:t>
      </w:r>
    </w:p>
    <w:p>
      <w:pPr>
        <w:pStyle w:val="BodyText"/>
      </w:pPr>
      <w:r>
        <w:t xml:space="preserve">При расчёте необходимого размера выборки были сделаны следующие допущения:</w:t>
      </w:r>
    </w:p>
    <w:p>
      <w:pPr>
        <w:numPr>
          <w:ilvl w:val="0"/>
          <w:numId w:val="1002"/>
        </w:numPr>
      </w:pPr>
      <w:r>
        <w:t xml:space="preserve">Распределение в группы будет равномерным в соотношении 1:1;</w:t>
      </w:r>
    </w:p>
    <w:p>
      <w:pPr>
        <w:numPr>
          <w:ilvl w:val="0"/>
          <w:numId w:val="1002"/>
        </w:numPr>
      </w:pPr>
      <w:r>
        <w:t xml:space="preserve">Односторонняя величина ошибки I рода (α) составляет 0.025;</w:t>
      </w:r>
    </w:p>
    <w:p>
      <w:pPr>
        <w:numPr>
          <w:ilvl w:val="0"/>
          <w:numId w:val="1002"/>
        </w:numPr>
      </w:pPr>
      <w:r>
        <w:t xml:space="preserve">Мощность исследования должна составлять 80%, соответственно, предельная величина</w:t>
      </w:r>
      <w:r>
        <w:t xml:space="preserve"> </w:t>
      </w:r>
      <w:r>
        <w:t xml:space="preserve">ошибки II рода (β) = 0.2;</w:t>
      </w:r>
    </w:p>
    <w:p>
      <w:pPr>
        <w:numPr>
          <w:ilvl w:val="0"/>
          <w:numId w:val="1002"/>
        </w:numPr>
      </w:pPr>
      <w:r>
        <w:t xml:space="preserve">На основании литературных данных мы ожидаем величину эффекта в группе</w:t>
      </w:r>
      <w:r>
        <w:t xml:space="preserve"> </w:t>
      </w:r>
      <w:r>
        <w:t xml:space="preserve">тестового препарата ~ 7.2 (МT) и в группе референсного препарата на уровне ~ 7.2 (MR).</w:t>
      </w:r>
    </w:p>
    <w:p>
      <w:pPr>
        <w:numPr>
          <w:ilvl w:val="0"/>
          <w:numId w:val="1002"/>
        </w:numPr>
      </w:pPr>
      <w:r>
        <w:t xml:space="preserve">Граница не меньшей эффективности препарата T по сравнению с препаратом R равна -2%.</w:t>
      </w:r>
    </w:p>
    <w:p>
      <w:pPr>
        <w:pStyle w:val="FirstParagraph"/>
      </w:pPr>
      <w:r>
        <w:t xml:space="preserve">Расчёт размера выборки был проведён в RStudio (версия 2024.04.2 Build 764) c использованием</w:t>
      </w:r>
      <w:r>
        <w:t xml:space="preserve"> </w:t>
      </w:r>
      <w:r>
        <w:t xml:space="preserve">языка R (версия 4.4.1) с помощью функции TwoSampleMean.NIS пакета TrialSize (версия 1.4.1).</w:t>
      </w:r>
    </w:p>
    <w:p>
      <w:pPr>
        <w:pStyle w:val="BodyText"/>
      </w:pPr>
      <w:r>
        <w:t xml:space="preserve">Результаты расчета представлены далее:</w:t>
      </w:r>
    </w:p>
    <w:p>
      <w:pPr>
        <w:pStyle w:val="SourceCode"/>
      </w:pPr>
      <w:r>
        <w:rPr>
          <w:rStyle w:val="FunctionTok"/>
        </w:rPr>
        <w:t xml:space="preserve">TwoSampleMean.NIS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37.71387</w:t>
      </w:r>
    </w:p>
    <w:p>
      <w:pPr>
        <w:pStyle w:val="FirstParagraph"/>
      </w:pPr>
      <w:r>
        <w:t xml:space="preserve">Таким образом, в каждую группу необходимо включить не менее 38 обследуемых, всего - 76 пациентов.</w:t>
      </w:r>
    </w:p>
    <w:p>
      <w:pPr>
        <w:pStyle w:val="BodyText"/>
      </w:pPr>
      <w:r>
        <w:t xml:space="preserve">С учётом частоты выбывания пациентов в ходе исследования, равной 20%, в каждую группу</w:t>
      </w:r>
      <w:r>
        <w:t xml:space="preserve"> </w:t>
      </w:r>
      <w:r>
        <w:t xml:space="preserve">необходимо набрать не менее 48 человек. В скрининг (с учётом 10% выбывания) необходимо</w:t>
      </w:r>
      <w:r>
        <w:t xml:space="preserve"> </w:t>
      </w:r>
      <w:r>
        <w:t xml:space="preserve">включить не менее 54 обследуемых в каждую группу.</w:t>
      </w:r>
    </w:p>
    <w:bookmarkEnd w:id="20"/>
    <w:bookmarkStart w:id="21" w:name="задание-2"/>
    <w:p>
      <w:pPr>
        <w:pStyle w:val="Heading1"/>
      </w:pPr>
      <w:r>
        <w:t xml:space="preserve">Задание 2</w:t>
      </w:r>
    </w:p>
    <w:p>
      <w:pPr>
        <w:numPr>
          <w:ilvl w:val="0"/>
          <w:numId w:val="1003"/>
        </w:numPr>
        <w:pStyle w:val="Compact"/>
      </w:pPr>
      <w:r>
        <w:t xml:space="preserve">Исследование превосходства препарата T над референтным лечением R в лечении</w:t>
      </w:r>
      <w:r>
        <w:t xml:space="preserve"> </w:t>
      </w:r>
      <w:r>
        <w:t xml:space="preserve">рассеянного склероза. Первичный показатель эффективности – доля пациентов, у которых к</w:t>
      </w:r>
      <w:r>
        <w:t xml:space="preserve"> </w:t>
      </w:r>
      <w:r>
        <w:t xml:space="preserve">визиту 3 (12 мес.) нет новых очагов по МРТ, развившихся в период наблюдения. Согласно</w:t>
      </w:r>
      <w:r>
        <w:t xml:space="preserve"> </w:t>
      </w:r>
      <w:r>
        <w:t xml:space="preserve">литературным данным, на фоне применения препарата R доля пациентов без новых очагов</w:t>
      </w:r>
      <w:r>
        <w:t xml:space="preserve"> </w:t>
      </w:r>
      <w:r>
        <w:t xml:space="preserve">составляет 66%. Ожидается, что препарат T будет эффективнее препарата R примерно на</w:t>
      </w:r>
      <w:r>
        <w:t xml:space="preserve"> </w:t>
      </w:r>
      <w:r>
        <w:t xml:space="preserve">15%, при этом спонсор хотел бы, чтобы граница превосходства была бы равна 1%. Спонсор</w:t>
      </w:r>
      <w:r>
        <w:t xml:space="preserve"> </w:t>
      </w:r>
      <w:r>
        <w:t xml:space="preserve">просит, чтобы в группу T было рандомизировано в 2 раза больше пациентов, чем в группу R.</w:t>
      </w:r>
    </w:p>
    <w:p>
      <w:pPr>
        <w:pStyle w:val="FirstParagraph"/>
      </w:pPr>
      <w:r>
        <w:t xml:space="preserve">Статистическая гипотеза превосходства в исследовании была сформулирована следующим образом:</w:t>
      </w:r>
    </w:p>
    <w:p>
      <w:pPr>
        <w:pStyle w:val="BodyText"/>
      </w:pPr>
      <w:r>
        <w:t xml:space="preserve">H0: PT-PR &lt;= d</w:t>
      </w:r>
    </w:p>
    <w:p>
      <w:pPr>
        <w:pStyle w:val="BodyText"/>
      </w:pPr>
      <w:r>
        <w:t xml:space="preserve">Ha: PT-PR &gt; d</w:t>
      </w:r>
    </w:p>
    <w:p>
      <w:pPr>
        <w:pStyle w:val="BodyText"/>
      </w:pPr>
      <w:r>
        <w:t xml:space="preserve">Где PT - доля пациентов без новых очагов после терапии препаратом T, PR - доля пациентов без новых очагов после терапии препаратом R, d - граница превосходства (1%).</w:t>
      </w:r>
    </w:p>
    <w:p>
      <w:pPr>
        <w:pStyle w:val="BodyText"/>
      </w:pPr>
      <w:r>
        <w:t xml:space="preserve">При расчёте необходимого размера выборки были сделаны следующие допущения:</w:t>
      </w:r>
    </w:p>
    <w:p>
      <w:pPr>
        <w:numPr>
          <w:ilvl w:val="0"/>
          <w:numId w:val="1004"/>
        </w:numPr>
      </w:pPr>
      <w:r>
        <w:t xml:space="preserve">Распределение в группы будет неравномерным в соотношении 2:1;</w:t>
      </w:r>
    </w:p>
    <w:p>
      <w:pPr>
        <w:numPr>
          <w:ilvl w:val="0"/>
          <w:numId w:val="1004"/>
        </w:numPr>
      </w:pPr>
      <w:r>
        <w:t xml:space="preserve">Односторонняя величина ошибки I рода (α) составляет 0.025;</w:t>
      </w:r>
    </w:p>
    <w:p>
      <w:pPr>
        <w:numPr>
          <w:ilvl w:val="0"/>
          <w:numId w:val="1004"/>
        </w:numPr>
      </w:pPr>
      <w:r>
        <w:t xml:space="preserve">Мощность исследования должна составлять 80%, соответственно, предельная величина</w:t>
      </w:r>
      <w:r>
        <w:t xml:space="preserve"> </w:t>
      </w:r>
      <w:r>
        <w:t xml:space="preserve">ошибки II рода (β) = 0.2;</w:t>
      </w:r>
    </w:p>
    <w:p>
      <w:pPr>
        <w:numPr>
          <w:ilvl w:val="0"/>
          <w:numId w:val="1004"/>
        </w:numPr>
      </w:pPr>
      <w:r>
        <w:t xml:space="preserve">На основании литературных данных мы ожидаем величину эффекта в группе</w:t>
      </w:r>
      <w:r>
        <w:t xml:space="preserve"> </w:t>
      </w:r>
      <w:r>
        <w:t xml:space="preserve">тестового препарата ~ 81% (РT) и в группе референсного препарата на уровне ~ 66% (РR).</w:t>
      </w:r>
    </w:p>
    <w:p>
      <w:pPr>
        <w:numPr>
          <w:ilvl w:val="0"/>
          <w:numId w:val="1004"/>
        </w:numPr>
      </w:pPr>
      <w:r>
        <w:t xml:space="preserve">Граница превосходства препарата T по сравнению с препаратом R равна 1%.</w:t>
      </w:r>
    </w:p>
    <w:p>
      <w:pPr>
        <w:pStyle w:val="FirstParagraph"/>
      </w:pPr>
      <w:r>
        <w:t xml:space="preserve">Расчёт размера выборки был проведён в RStudio (версия 2024.04.2 Build 764) c использованием</w:t>
      </w:r>
      <w:r>
        <w:t xml:space="preserve"> </w:t>
      </w:r>
      <w:r>
        <w:t xml:space="preserve">языка R (версия 4.4.1) с помощью функции TwoSampleProportion.NIS пакета TrialSize (версия 1.4.1).</w:t>
      </w:r>
    </w:p>
    <w:p>
      <w:pPr>
        <w:pStyle w:val="BodyText"/>
      </w:pPr>
      <w:r>
        <w:t xml:space="preserve">Результаты расчета представлены далее:</w:t>
      </w:r>
    </w:p>
    <w:p>
      <w:pPr>
        <w:pStyle w:val="SourceCode"/>
      </w:pPr>
      <w:r>
        <w:rPr>
          <w:rStyle w:val="FunctionTok"/>
        </w:rPr>
        <w:t xml:space="preserve">TwoSampleProportion.NIS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p2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241.3531</w:t>
      </w:r>
    </w:p>
    <w:p>
      <w:pPr>
        <w:pStyle w:val="FirstParagraph"/>
      </w:pPr>
      <w:r>
        <w:t xml:space="preserve">Таким образом, в тестовую группу необходимо включить не менее 242 обследуемых, в контрольную группу - не менее 121 обследуемых, всего - 363 пациента.</w:t>
      </w:r>
    </w:p>
    <w:p>
      <w:pPr>
        <w:pStyle w:val="BodyText"/>
      </w:pPr>
      <w:r>
        <w:t xml:space="preserve">С учётом частоты выбывания пациентов в ходе исследования, равной 20%, в тестовую группу необходимо набрать не менее 303 пациентов, в контрольную - не менее 152. В скрининг (с учётом 10% выбывания) необходимо</w:t>
      </w:r>
      <w:r>
        <w:t xml:space="preserve"> </w:t>
      </w:r>
      <w:r>
        <w:t xml:space="preserve">включить в тестовую группу не менее 337 обследуемых, в контрольную - не менее 169.</w:t>
      </w:r>
    </w:p>
    <w:bookmarkEnd w:id="21"/>
    <w:bookmarkStart w:id="22" w:name="задание-3"/>
    <w:p>
      <w:pPr>
        <w:pStyle w:val="Heading1"/>
      </w:pPr>
      <w:r>
        <w:t xml:space="preserve">Задание 3</w:t>
      </w:r>
    </w:p>
    <w:p>
      <w:pPr>
        <w:numPr>
          <w:ilvl w:val="0"/>
          <w:numId w:val="1005"/>
        </w:numPr>
        <w:pStyle w:val="Compact"/>
      </w:pPr>
      <w:r>
        <w:t xml:space="preserve">Исследование превосходства нового препарата А над препаратом Б в профилактике</w:t>
      </w:r>
      <w:r>
        <w:t xml:space="preserve"> </w:t>
      </w:r>
      <w:r>
        <w:t xml:space="preserve">интраоперационных кровотечений. Первичная конечная точка – объём кровопотери в мл. Из</w:t>
      </w:r>
      <w:r>
        <w:t xml:space="preserve"> </w:t>
      </w:r>
      <w:r>
        <w:t xml:space="preserve">данных литературы известно, что средний объём кровопотери при применении препарата Б</w:t>
      </w:r>
      <w:r>
        <w:t xml:space="preserve"> </w:t>
      </w:r>
      <w:r>
        <w:t xml:space="preserve">составляет 306 ± 52 мл. Ожидается, что препарат А в среднем будет снижать объём</w:t>
      </w:r>
      <w:r>
        <w:t xml:space="preserve"> </w:t>
      </w:r>
      <w:r>
        <w:t xml:space="preserve">кровопотери на 20% в сравнении с препаратом Б. Границу превосходства предполагается</w:t>
      </w:r>
      <w:r>
        <w:t xml:space="preserve"> </w:t>
      </w:r>
      <w:r>
        <w:t xml:space="preserve">установить равной 50 мл. Спонсор просит рассчитать объём выборок таким образом, чтобы</w:t>
      </w:r>
      <w:r>
        <w:t xml:space="preserve"> </w:t>
      </w:r>
      <w:r>
        <w:t xml:space="preserve">препарат А получили 75% пациентов, включённых в исследование.</w:t>
      </w:r>
    </w:p>
    <w:p>
      <w:pPr>
        <w:pStyle w:val="FirstParagraph"/>
      </w:pPr>
      <w:r>
        <w:t xml:space="preserve">Статистическая гипотеза превосходства в исследовании была сформулирована следующим образом:</w:t>
      </w:r>
    </w:p>
    <w:p>
      <w:pPr>
        <w:pStyle w:val="BodyText"/>
      </w:pPr>
      <w:r>
        <w:t xml:space="preserve">H0: MT-MR &gt;= d</w:t>
      </w:r>
      <w:r>
        <w:t xml:space="preserve"> </w:t>
      </w:r>
      <w:r>
        <w:t xml:space="preserve">Ha: MT-MR &lt; d</w:t>
      </w:r>
    </w:p>
    <w:p>
      <w:pPr>
        <w:pStyle w:val="BodyText"/>
      </w:pPr>
      <w:r>
        <w:t xml:space="preserve">Где МТ - средний объем кровопотери для препарата Т, MR - средний объем кровопотери для препарата R, d - граница превосходства (-50 ml).</w:t>
      </w:r>
    </w:p>
    <w:p>
      <w:pPr>
        <w:pStyle w:val="BodyText"/>
      </w:pPr>
      <w:r>
        <w:t xml:space="preserve">При расчёте необходимого размера выборки были сделаны следующие допущения:</w:t>
      </w:r>
    </w:p>
    <w:p>
      <w:pPr>
        <w:numPr>
          <w:ilvl w:val="0"/>
          <w:numId w:val="1006"/>
        </w:numPr>
      </w:pPr>
      <w:r>
        <w:t xml:space="preserve">Распределение в группы будет неравномерным в соотношении 3:1;</w:t>
      </w:r>
    </w:p>
    <w:p>
      <w:pPr>
        <w:numPr>
          <w:ilvl w:val="0"/>
          <w:numId w:val="1006"/>
        </w:numPr>
      </w:pPr>
      <w:r>
        <w:t xml:space="preserve">Односторонняя величина ошибки I рода (α) составляет 0.025;</w:t>
      </w:r>
    </w:p>
    <w:p>
      <w:pPr>
        <w:numPr>
          <w:ilvl w:val="0"/>
          <w:numId w:val="1006"/>
        </w:numPr>
      </w:pPr>
      <w:r>
        <w:t xml:space="preserve">Мощность исследования должна составлять 80%, соответственно, предельная величина</w:t>
      </w:r>
      <w:r>
        <w:t xml:space="preserve"> </w:t>
      </w:r>
      <w:r>
        <w:t xml:space="preserve">ошибки II рода (β) = 0.2;</w:t>
      </w:r>
    </w:p>
    <w:p>
      <w:pPr>
        <w:numPr>
          <w:ilvl w:val="0"/>
          <w:numId w:val="1006"/>
        </w:numPr>
      </w:pPr>
      <w:r>
        <w:t xml:space="preserve">На основании литературных данных мы ожидаем величину эффекта в группе</w:t>
      </w:r>
      <w:r>
        <w:t xml:space="preserve"> </w:t>
      </w:r>
      <w:r>
        <w:t xml:space="preserve">тестового препарата ~ -244.8 ml (МT) и в группе референсного препарата на уровне ~ -306 ml (MR).</w:t>
      </w:r>
    </w:p>
    <w:p>
      <w:pPr>
        <w:numPr>
          <w:ilvl w:val="0"/>
          <w:numId w:val="1006"/>
        </w:numPr>
      </w:pPr>
      <w:r>
        <w:t xml:space="preserve">Граница превосходства препарата T по сравнению с препаратом R равна -50 ml.</w:t>
      </w:r>
    </w:p>
    <w:p>
      <w:pPr>
        <w:pStyle w:val="FirstParagraph"/>
      </w:pPr>
      <w:r>
        <w:t xml:space="preserve">Расчёт размера выборки был проведён в RStudio (версия 2024.04.2 Build 764) c использованием</w:t>
      </w:r>
      <w:r>
        <w:t xml:space="preserve"> </w:t>
      </w:r>
      <w:r>
        <w:t xml:space="preserve">языка R (версия 4.4.1) с помощью функции TwoSampleMean.NIS пакета TrialSize (версия 1.4.1).</w:t>
      </w:r>
    </w:p>
    <w:p>
      <w:pPr>
        <w:pStyle w:val="BodyText"/>
      </w:pPr>
      <w:r>
        <w:t xml:space="preserve">Результаты расчета представлены далее:</w:t>
      </w:r>
    </w:p>
    <w:p>
      <w:pPr>
        <w:pStyle w:val="SourceCode"/>
      </w:pPr>
      <w:r>
        <w:rPr>
          <w:rStyle w:val="FunctionTok"/>
        </w:rPr>
        <w:t xml:space="preserve">TwoSampleMean.NIS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306</w:t>
      </w:r>
      <w:r>
        <w:rPr>
          <w:rStyle w:val="SpecialCharTok"/>
        </w:rPr>
        <w:t xml:space="preserve">*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676.7657</w:t>
      </w:r>
    </w:p>
    <w:p>
      <w:pPr>
        <w:pStyle w:val="FirstParagraph"/>
      </w:pPr>
      <w:r>
        <w:t xml:space="preserve">Таким образом, в тестовую группу необходимо включить не менее 677 обследуемых, в контрольную группу - не менее 226 обследуемых, всего - 903 пациента.</w:t>
      </w:r>
    </w:p>
    <w:p>
      <w:pPr>
        <w:pStyle w:val="BodyText"/>
      </w:pPr>
      <w:r>
        <w:t xml:space="preserve">С учётом частоты выбывания пациентов в ходе исследования, равной 20%, в тестовую группу необходимо набрать не менее 847 пациентов, в контрольную - не менее 283. В скрининг (с учётом 10% выбывания) необходимо</w:t>
      </w:r>
      <w:r>
        <w:t xml:space="preserve"> </w:t>
      </w:r>
      <w:r>
        <w:t xml:space="preserve">включить в тестовую группу не менее 942 обследуемых, в контрольную - не менее 315.</w:t>
      </w:r>
    </w:p>
    <w:bookmarkEnd w:id="22"/>
    <w:bookmarkStart w:id="23" w:name="задание-4"/>
    <w:p>
      <w:pPr>
        <w:pStyle w:val="Heading1"/>
      </w:pPr>
      <w:r>
        <w:t xml:space="preserve">Задание 4</w:t>
      </w:r>
    </w:p>
    <w:p>
      <w:pPr>
        <w:numPr>
          <w:ilvl w:val="0"/>
          <w:numId w:val="1007"/>
        </w:numPr>
        <w:pStyle w:val="Compact"/>
      </w:pPr>
      <w:r>
        <w:t xml:space="preserve">Известно, что на фоне лечения препаратом Х рецидив псориатического артрита за 6 месяцев</w:t>
      </w:r>
      <w:r>
        <w:t xml:space="preserve"> </w:t>
      </w:r>
      <w:r>
        <w:t xml:space="preserve">наблюдается в 32% случаев. Спонсор хочет исследовать новый препарат У, который, как</w:t>
      </w:r>
      <w:r>
        <w:t xml:space="preserve"> </w:t>
      </w:r>
      <w:r>
        <w:t xml:space="preserve">ожидается, снизит частоту рецидивов на 15%. Границей превосходства можно считать</w:t>
      </w:r>
      <w:r>
        <w:t xml:space="preserve"> </w:t>
      </w:r>
      <w:r>
        <w:t xml:space="preserve">снижение доли пациентов с рецидивом более, чем на 5%.</w:t>
      </w:r>
      <w:r>
        <w:t xml:space="preserve"> </w:t>
      </w:r>
      <w:r>
        <w:t xml:space="preserve">При этом существует сложность. У спонсора в наличии имеется только 250 пачек препарата Х и</w:t>
      </w:r>
      <w:r>
        <w:t xml:space="preserve"> </w:t>
      </w:r>
      <w:r>
        <w:t xml:space="preserve">он просит, чтобы рандомизационное соотношение было таким, чтобы препарата хватило на</w:t>
      </w:r>
      <w:r>
        <w:t xml:space="preserve"> </w:t>
      </w:r>
      <w:r>
        <w:t xml:space="preserve">проведение исследования.</w:t>
      </w:r>
    </w:p>
    <w:p>
      <w:pPr>
        <w:pStyle w:val="FirstParagraph"/>
      </w:pPr>
      <w:r>
        <w:t xml:space="preserve">Статистическая гипотеза превосходства в исследовании была сформулирована следующим образом:</w:t>
      </w:r>
    </w:p>
    <w:p>
      <w:pPr>
        <w:pStyle w:val="BodyText"/>
      </w:pPr>
      <w:r>
        <w:t xml:space="preserve">H0: PT-PR &gt;= d</w:t>
      </w:r>
    </w:p>
    <w:p>
      <w:pPr>
        <w:pStyle w:val="BodyText"/>
      </w:pPr>
      <w:r>
        <w:t xml:space="preserve">Ha: PT-PR &lt; d</w:t>
      </w:r>
    </w:p>
    <w:p>
      <w:pPr>
        <w:pStyle w:val="BodyText"/>
      </w:pPr>
      <w:r>
        <w:t xml:space="preserve">d = -5%</w:t>
      </w:r>
    </w:p>
    <w:p>
      <w:pPr>
        <w:pStyle w:val="BodyText"/>
      </w:pPr>
      <w:r>
        <w:t xml:space="preserve">Где РТ - частота рецидивов псориатического артрита за 6 месяцев на фоне лечения препаратом У, PR - частота рецидивов псориатического артрита за 6 месяцев на фоне лечения препаратом Х, d - граница превосходства (-5%).</w:t>
      </w:r>
    </w:p>
    <w:p>
      <w:pPr>
        <w:pStyle w:val="BodyText"/>
      </w:pPr>
      <w:r>
        <w:t xml:space="preserve">При расчёте необходимого размера выборки были сделаны следующие допущения:</w:t>
      </w:r>
    </w:p>
    <w:p>
      <w:pPr>
        <w:numPr>
          <w:ilvl w:val="0"/>
          <w:numId w:val="1008"/>
        </w:numPr>
      </w:pPr>
      <w:r>
        <w:t xml:space="preserve">Распределение в группы будет неравномерным в соотношении 4:1;</w:t>
      </w:r>
    </w:p>
    <w:p>
      <w:pPr>
        <w:numPr>
          <w:ilvl w:val="0"/>
          <w:numId w:val="1008"/>
        </w:numPr>
      </w:pPr>
      <w:r>
        <w:t xml:space="preserve">Односторонняя величина ошибки I рода (α) составляет 0.025;</w:t>
      </w:r>
    </w:p>
    <w:p>
      <w:pPr>
        <w:numPr>
          <w:ilvl w:val="0"/>
          <w:numId w:val="1008"/>
        </w:numPr>
      </w:pPr>
      <w:r>
        <w:t xml:space="preserve">Мощность исследования должна составлять 80%, соответственно, предельная величина</w:t>
      </w:r>
      <w:r>
        <w:t xml:space="preserve"> </w:t>
      </w:r>
      <w:r>
        <w:t xml:space="preserve">ошибки II рода (β) = 0.2;</w:t>
      </w:r>
    </w:p>
    <w:p>
      <w:pPr>
        <w:numPr>
          <w:ilvl w:val="0"/>
          <w:numId w:val="1008"/>
        </w:numPr>
      </w:pPr>
      <w:r>
        <w:t xml:space="preserve">На основании литературных данных мы ожидаем величину эффекта в группе</w:t>
      </w:r>
      <w:r>
        <w:t xml:space="preserve"> </w:t>
      </w:r>
      <w:r>
        <w:t xml:space="preserve">тестового препарата ~ -17% (PT) и в группе референсного препарата на уровне ~ -32% (PR).</w:t>
      </w:r>
    </w:p>
    <w:p>
      <w:pPr>
        <w:numPr>
          <w:ilvl w:val="0"/>
          <w:numId w:val="1008"/>
        </w:numPr>
      </w:pPr>
      <w:r>
        <w:t xml:space="preserve">Граница превосходства препарата T по сравнению с препаратом R равна -5%.</w:t>
      </w:r>
    </w:p>
    <w:p>
      <w:pPr>
        <w:pStyle w:val="FirstParagraph"/>
      </w:pPr>
      <w:r>
        <w:t xml:space="preserve">Расчёт размера выборки был проведён в RStudio (версия 2024.04.2 Build 764) c использованием</w:t>
      </w:r>
      <w:r>
        <w:t xml:space="preserve"> </w:t>
      </w:r>
      <w:r>
        <w:t xml:space="preserve">языка R (версия 4.4.1) с помощью функции TwoSampleProportion.NIS пакета TrialSize (версия 1.4.1).</w:t>
      </w:r>
    </w:p>
    <w:p>
      <w:pPr>
        <w:pStyle w:val="BodyText"/>
      </w:pPr>
      <w:r>
        <w:t xml:space="preserve">Результаты расчета представлены далее:</w:t>
      </w:r>
    </w:p>
    <w:p>
      <w:pPr>
        <w:pStyle w:val="SourceCode"/>
      </w:pPr>
      <w:r>
        <w:rPr>
          <w:rStyle w:val="FunctionTok"/>
        </w:rPr>
        <w:t xml:space="preserve">TwoSampleProportion.NIS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p2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1135.497</w:t>
      </w:r>
    </w:p>
    <w:p>
      <w:pPr>
        <w:pStyle w:val="FirstParagraph"/>
      </w:pPr>
      <w:r>
        <w:t xml:space="preserve">Таким образом, в тестовую группу необходимо включить не менее 1136 обследуемых, в контрольную группу - не менее 190 обследуемых, всего - 1326 пациента.</w:t>
      </w:r>
    </w:p>
    <w:p>
      <w:pPr>
        <w:pStyle w:val="BodyText"/>
      </w:pPr>
      <w:r>
        <w:t xml:space="preserve">С учётом частоты выбывания пациентов в ходе исследования, равной 20%, в тестовую группу необходимо набрать не менее 1420 пациентов, в контрольную - не менее 238. В скрининг (с учётом 10% выбывания) необходимо</w:t>
      </w:r>
      <w:r>
        <w:t xml:space="preserve"> </w:t>
      </w:r>
      <w:r>
        <w:t xml:space="preserve">включить в тестовую группу не менее 1578 обследуемых, в контрольную - не менее 264. Даже с учетом рандомизации 6:1 количество людей в контрольной группе превышает 250, необходимо пересмотреть дизайн исследования (снизить мощность, выбрать односторонний тест, пересмотреть ожидаемую величину эффекта?).</w:t>
      </w:r>
    </w:p>
    <w:p>
      <w:pPr>
        <w:pStyle w:val="BodyText"/>
      </w:pPr>
      <w:r>
        <w:t xml:space="preserve">Если мы ожидаем величину эффекта выше заявленной, то можно рассмотреть групповой последовательный дизайн по Pocock с промежуточным анализом на 50%.</w:t>
      </w:r>
    </w:p>
    <w:p>
      <w:pPr>
        <w:pStyle w:val="BodyText"/>
      </w:pPr>
      <w:r>
        <w:t xml:space="preserve">Пример расчета:</w:t>
      </w:r>
    </w:p>
    <w:p>
      <w:pPr>
        <w:pStyle w:val="SourceCode"/>
      </w:pPr>
      <w:r>
        <w:rPr>
          <w:rStyle w:val="NormalTok"/>
        </w:rPr>
        <w:t xml:space="preserve">design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getDesignGroupSequential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typeOfDesign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informationRates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getSampleSizeRates</w:t>
      </w:r>
      <w:r>
        <w:rPr>
          <w:rStyle w:val="NormalTok"/>
        </w:rPr>
        <w:t xml:space="preserve">(design, </w:t>
      </w:r>
      <w:r>
        <w:rPr>
          <w:rStyle w:val="AttributeTok"/>
        </w:rPr>
        <w:t xml:space="preserve">thetaH0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pi2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iCs/>
          <w:i/>
        </w:rPr>
        <w:t xml:space="preserve">Sample size calculation for a binary endpoint</w:t>
      </w:r>
    </w:p>
    <w:p>
      <w:pPr>
        <w:pStyle w:val="BodyText"/>
      </w:pPr>
      <w:r>
        <w:t xml:space="preserve">Sequential analysis with a maximum of 2 looks (group sequential design),</w:t>
      </w:r>
      <w:r>
        <w:t xml:space="preserve"> </w:t>
      </w:r>
      <w:r>
        <w:t xml:space="preserve">one-sided overall significance level 2.5%, power 80%.</w:t>
      </w:r>
      <w:r>
        <w:t xml:space="preserve"> </w:t>
      </w:r>
      <w:r>
        <w:t xml:space="preserve">The results were calculated for a two-sample test for rates (normal approximation),</w:t>
      </w:r>
      <w:r>
        <w:t xml:space="preserve"> </w:t>
      </w:r>
      <w:r>
        <w:t xml:space="preserve">H0: pi(1) - pi(2) = -0.05, H1: pi(1) = 0.17, control rate pi(2) = 0.32.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Planned information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Cumulative alpha spent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levels (one-sided)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Efficacy boundary (z-value scale)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Efficacy boundary 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Cumulative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number of subjects under H1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486.2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probability for efficacy (under H0)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0.0147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Exit probability for efficacy (under H1)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0.4638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Legend:</w:t>
      </w:r>
    </w:p>
    <w:p>
      <w:pPr>
        <w:numPr>
          <w:ilvl w:val="0"/>
          <w:numId w:val="1009"/>
        </w:numPr>
        <w:pStyle w:val="Compact"/>
      </w:pPr>
      <w:r>
        <w:rPr>
          <w:iCs/>
          <w:i/>
        </w:rPr>
        <w:t xml:space="preserve">(t)</w:t>
      </w:r>
      <w:r>
        <w:t xml:space="preserve">: treatment effect scale</w:t>
      </w:r>
    </w:p>
    <w:p>
      <w:pPr>
        <w:pStyle w:val="FirstParagraph"/>
      </w:pPr>
      <w:r>
        <w:t xml:space="preserve">Таким образом, общее количество пациентов для промежуточного анализа составит 318 человек. В тестовую и референсную группу необходимо будет набрать по 159 человек.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size calculation</dc:title>
  <dc:creator>Anastasiia Potamoshneva</dc:creator>
  <cp:keywords/>
  <dcterms:created xsi:type="dcterms:W3CDTF">2024-12-23T19:32:27Z</dcterms:created>
  <dcterms:modified xsi:type="dcterms:W3CDTF">2024-12-23T19:32:27Z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