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Mission / Support CTA Banner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/ CTA Block</w:t>
      </w:r>
    </w:p>
    <w:p>
      <w:r>
        <w:rPr>
          <w:b/>
        </w:rPr>
        <w:t>Related design:</w:t>
      </w:r>
      <w:r>
        <w:t xml:space="preserve"> Figma node 2749-47687 — </w:t>
      </w:r>
      <w:r>
        <w:rPr>
          <w:rFonts w:ascii="Consolas" w:hAnsi="Consolas"/>
          <w:color w:val="8B0000"/>
          <w:sz w:val="18"/>
        </w:rPr>
        <w:t>CTA_Component</w:t>
      </w:r>
      <w:r>
        <w:t xml:space="preserve"> (COMPONENT_SET). Two layout options across Desktop/Tablet/Mobile:</w:t>
      </w:r>
    </w:p>
    <w:p>
      <w:pPr>
        <w:pStyle w:val="ListBullet"/>
      </w:pPr>
      <w:r>
        <w:rPr>
          <w:b/>
        </w:rPr>
        <w:t>Option 01</w:t>
      </w:r>
      <w:r>
        <w:t>: heading + subtext + CTA over a full-bleed background image (Desktop 1280×257, Tablet 768×286, Mobile 360×410).</w:t>
      </w:r>
    </w:p>
    <w:p>
      <w:pPr>
        <w:pStyle w:val="ListBullet"/>
      </w:pPr>
      <w:r>
        <w:rPr>
          <w:b/>
        </w:rPr>
        <w:t>Option 02</w:t>
      </w:r>
      <w:r>
        <w:t>: heading + subtext + CTA with a decorative illustration/logo graphic (Desktop 1280×345, Tablet 768×288, Mobile 360×504).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mission/support message with a clear call to action,</w:t>
      </w:r>
    </w:p>
    <w:p>
      <w:r>
        <w:rPr>
          <w:b/>
        </w:rPr>
        <w:t>so that</w:t>
      </w:r>
      <w:r>
        <w:t xml:space="preserve"> I understand how my purchase supports Girl Scouts and can learn more.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heading, subtext, CTA, and background/illustration, with everything optional,</w:t>
      </w:r>
    </w:p>
    <w:p>
      <w:r>
        <w:rPr>
          <w:b/>
        </w:rPr>
        <w:t>so that</w:t>
      </w:r>
      <w:r>
        <w:t xml:space="preserve"> I can run the mission callout without the block breaking if a field is empty.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mission/support CTA banner</w:t>
      </w:r>
      <w:r>
        <w:t>: a heading, a supporting line, and a primary CTA ("Know More About Girl Scouts"), presented either over a full-bleed background image (Option 01) or alongside a decorative illustration (Option 02). Authored content.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>: Girl Scout Light(300) 36/43 (e.g., "When you support Girl Scouts, you empower…" / "Your purchase supports our mission to build…").</w:t>
      </w:r>
    </w:p>
    <w:p>
      <w:pPr>
        <w:pStyle w:val="ListBullet"/>
      </w:pPr>
      <w:r>
        <w:rPr>
          <w:b/>
        </w:rPr>
        <w:t>Subtext</w:t>
      </w:r>
      <w:r>
        <w:t xml:space="preserve">: Trefoil Sans 400 16/21, </w:t>
      </w:r>
      <w:r>
        <w:rPr>
          <w:rFonts w:ascii="Consolas" w:hAnsi="Consolas"/>
          <w:color w:val="8B0000"/>
          <w:sz w:val="18"/>
        </w:rPr>
        <w:t>#2D2E33</w:t>
      </w:r>
      <w:r>
        <w:t xml:space="preserve"> (e.g., "Councils and partners play a key role in…").</w:t>
      </w:r>
    </w:p>
    <w:p>
      <w:pPr>
        <w:pStyle w:val="ListBullet"/>
      </w:pPr>
      <w:r>
        <w:rPr>
          <w:b/>
        </w:rPr>
        <w:t>Primary CTA</w:t>
      </w:r>
      <w:r>
        <w:t>: "Know More About Girl Scouts" — button (~291–294×52), Trefoil Sans 500/600 16/21, white label on green fill, with icon.</w:t>
      </w:r>
    </w:p>
    <w:p>
      <w:pPr>
        <w:pStyle w:val="ListBullet"/>
      </w:pPr>
      <w:r>
        <w:rPr>
          <w:b/>
        </w:rPr>
        <w:t>Option 01</w:t>
      </w:r>
      <w:r>
        <w:t>: content over a full-bleed background image (1280×257).</w:t>
      </w:r>
    </w:p>
    <w:p>
      <w:pPr>
        <w:pStyle w:val="ListBullet"/>
      </w:pPr>
      <w:r>
        <w:rPr>
          <w:b/>
        </w:rPr>
        <w:t>Option 02</w:t>
      </w:r>
      <w:r>
        <w:t>: content + a decorative illustration/logo graphic (1280×345).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Option 01 — 1280×257 / 768×286 / 360×410; Option 02 — 1280×345 / 768×288 / 360×504 (content stacks; illustration scales/repositions).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CTA button</w:t>
      </w:r>
      <w:r>
        <w:t>: green fill darkens (≈</w:t>
      </w:r>
      <w:r>
        <w:rPr>
          <w:rFonts w:ascii="Consolas" w:hAnsi="Consolas"/>
          <w:color w:val="8B0000"/>
          <w:sz w:val="18"/>
        </w:rPr>
        <w:t>#004a37</w:t>
      </w:r>
      <w:r>
        <w:t>) or inverts to outline on hover; icon nudges; cursor pointer; visible focus ring (≥3:1 contrast).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hover has an equivalent keyboard-focus state; ≥44×44px tap target on mobile.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Subtext / supporting line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Background image (Option 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Decorative illustration/graphic (Option 02)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 / 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 option (Option 01 / 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`Mission CTA`</w:t>
      </w:r>
      <w:r>
        <w:t>) in the page document.</w:t>
      </w:r>
    </w:p>
    <w:p>
      <w:pPr>
        <w:pStyle w:val="ListBullet"/>
      </w:pPr>
      <w:r>
        <w:t>Author chooses the layout option and sets heading, subtext, CTA (label + link), and background image (Option 01).</w:t>
      </w:r>
    </w:p>
    <w:p>
      <w:pPr>
        <w:pStyle w:val="ListBullet"/>
      </w:pPr>
      <w:r>
        <w:rPr>
          <w:b/>
        </w:rPr>
        <w:t>All fields are optional</w:t>
      </w:r>
      <w:r>
        <w:t xml:space="preserve"> (see Acceptance Criteria).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choose the layout option (Option 01 image-background / Option 02 illustration).</w:t>
      </w:r>
    </w:p>
    <w:p>
      <w:pPr>
        <w:pStyle w:val="ListBullet"/>
      </w:pPr>
      <w:r>
        <w:t>Author can set heading, subtext, CTA (label + link), and background image.</w:t>
      </w:r>
    </w:p>
    <w:p>
      <w:pPr>
        <w:pStyle w:val="ListBullet"/>
      </w:pPr>
      <w:r>
        <w:rPr>
          <w:b/>
        </w:rPr>
        <w:t>No fields are mandatory.</w:t>
      </w:r>
      <w:r>
        <w:t xml:space="preserve"> The block renders with any combination of provided fields.</w:t>
      </w:r>
    </w:p>
    <w:p>
      <w:pPr>
        <w:pStyle w:val="ListBullet"/>
      </w:pPr>
      <w:r>
        <w:rPr>
          <w:b/>
        </w:rPr>
        <w:t>Graceful blanks:</w:t>
      </w:r>
      <w:r>
        <w:t xml:space="preserve"> if a field is left empty, the block must NOT break — only that part renders blank/omitted (empty subtext → no subtext line; no CTA → no button; no heading → heading omitted; no background image → default/plain background).</w:t>
      </w:r>
    </w:p>
    <w:p>
      <w:pPr>
        <w:pStyle w:val="ListBullet"/>
      </w:pPr>
      <w:r>
        <w:t>Preview reflects the block (including partially-filled)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heading, subtext, CTA, and background/illustration per the chosen option.</w:t>
      </w:r>
    </w:p>
    <w:p>
      <w:pPr>
        <w:pStyle w:val="ListBullet"/>
      </w:pPr>
      <w:r>
        <w:t>Missing fields display cleanly (blank/omitted part only) — no broken layout, no placeholder text leaking through.</w:t>
      </w:r>
    </w:p>
    <w:p>
      <w:pPr>
        <w:pStyle w:val="ListBullet"/>
      </w:pPr>
      <w:r>
        <w:t>Clicking the CTA navigates to the authored target (e.g., "About Girl Scouts" page).</w:t>
      </w:r>
    </w:p>
    <w:p>
      <w:pPr>
        <w:pStyle w:val="ListBullet"/>
      </w:pPr>
      <w:r>
        <w:t>Background/illustration images have alt text (or are marked decorative); text legible over the background (scrim/contrast).</w:t>
      </w:r>
    </w:p>
    <w:p>
      <w:pPr>
        <w:pStyle w:val="ListBullet"/>
      </w:pPr>
      <w:r>
        <w:t>Responsive: content stacks/scales at tablet and mobile without overflow or distortion.</w:t>
      </w:r>
    </w:p>
    <w:p>
      <w:pPr>
        <w:pStyle w:val="ListBullet"/>
      </w:pPr>
      <w:r>
        <w:t>Keyboard: CTA focusable with visible focus; Enter activates.</w:t>
      </w:r>
    </w:p>
    <w:p>
      <w:pPr>
        <w:pStyle w:val="ListBullet"/>
      </w:pPr>
      <w:r>
        <w:t>WCAG 2.1 AA: heading structure (if present), accessible CTA name, sufficient text contrast over background; decorative graphics hidden from assistive tech.</w:t>
      </w:r>
    </w:p>
    <w:p>
      <w:pPr>
        <w:pStyle w:val="ListBullet"/>
      </w:pPr>
      <w:r>
        <w:t>Performance: image/illustration optimized and appropriately loaded; aspect-ratio boxes prevent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Authored content — no catalog data.</w:t>
      </w:r>
      <w:r>
        <w:t xml:space="preserve"> Heading, subtext, CTA, and imagery are authored in DA.</w:t>
      </w:r>
    </w:p>
    <w:p>
      <w:pPr>
        <w:pStyle w:val="ListBullet"/>
      </w:pPr>
      <w:r>
        <w:t>The CTA links to an authored page (e.g., an "About/Mission" content page).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Adobe Assets / DA for background image; code/asset for the Option 02 illustration.</w:t>
      </w:r>
    </w:p>
    <w:p>
      <w:pPr>
        <w:pStyle w:val="ListBullet"/>
      </w:pPr>
      <w:r>
        <w:t>Shared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both layout options (Option 01 &amp; 02) are in scope and the default.</w:t>
      </w:r>
    </w:p>
    <w:p>
      <w:pPr>
        <w:pStyle w:val="ListBullet"/>
      </w:pPr>
      <w:r>
        <w:t>Confirm the CTA target URL ("Know More About Girl Scouts").</w:t>
      </w:r>
    </w:p>
    <w:p>
      <w:pPr>
        <w:pStyle w:val="ListBullet"/>
      </w:pPr>
      <w:r>
        <w:t>Confirm whether the Option 02 illustration is fixed (code) or author-supplied.</w:t>
      </w:r>
    </w:p>
    <w:p>
      <w:pPr>
        <w:pStyle w:val="ListBullet"/>
      </w:pPr>
      <w:r>
        <w:t>Confirm exact hover shade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