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Council Products Carousel</w:t>
      </w:r>
    </w:p>
    <w:p>
      <w:pPr>
        <w:pStyle w:val="Heading1"/>
      </w:pPr>
      <w:r>
        <w:t>EDS Authoring Story — Council Products Carousel (Content Model &amp; Authoring)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Commerce Block (council-scoped product carousel)</w:t>
      </w:r>
    </w:p>
    <w:p>
      <w:r>
        <w:rPr>
          <w:b/>
        </w:rPr>
        <w:t>Related design:</w:t>
      </w:r>
      <w:r>
        <w:t xml:space="preserve"> Figma node 2758-55140 — </w:t>
      </w:r>
      <w:r>
        <w:rPr>
          <w:rFonts w:ascii="Consolas" w:hAnsi="Consolas"/>
          <w:color w:val="8B0000"/>
          <w:sz w:val="18"/>
        </w:rPr>
        <w:t>Council Products-B2C/Leader</w:t>
      </w:r>
      <w:r>
        <w:t xml:space="preserve"> (Desktop 1280×758, Tablet 768×692, Mobile 360×701).</w:t>
      </w:r>
    </w:p>
    <w:p>
      <w:r>
        <w:rPr>
          <w:b/>
        </w:rPr>
        <w:t>Companion stories:</w:t>
      </w:r>
      <w:r>
        <w:t xml:space="preserve"> Commerce API — Council Products feed · ACCS Site Visit — Council Products rendering &amp; UX.</w:t>
      </w:r>
    </w:p>
    <w:p>
      <w:r>
        <w:rPr>
          <w:b/>
        </w:rPr>
        <w:t>Stream:</w:t>
      </w:r>
      <w:r>
        <w:t xml:space="preserve"> EDS Authoring (content model, authoring rules, DA preview).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authoring/config only; consumes the Commerce API contract,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field set, default council behavior, and CTA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merchandisers surface council-specific products without manual lists.</w:t>
      </w:r>
    </w:p>
    <w:p>
      <w:pPr>
        <w:pStyle w:val="ListBullet"/>
      </w:pPr>
      <w:r>
        <w:rPr>
          <w:b/>
        </w:rPr>
        <w:t>Estimable:</w:t>
      </w:r>
      <w:r>
        <w:t xml:space="preserve"> bounded config surface.</w:t>
      </w:r>
    </w:p>
    <w:p>
      <w:pPr>
        <w:pStyle w:val="ListBullet"/>
      </w:pPr>
      <w:r>
        <w:rPr>
          <w:b/>
        </w:rPr>
        <w:t>Small:</w:t>
      </w:r>
      <w:r>
        <w:t xml:space="preserve"> one block's authoring model.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configure the Council Products block (heading, default council behavior, persona toggle, and a CTA),</w:t>
      </w:r>
    </w:p>
    <w:p>
      <w:r>
        <w:rPr>
          <w:b/>
        </w:rPr>
        <w:t>so that</w:t>
      </w:r>
      <w:r>
        <w:t xml:space="preserve"> council-affiliated shoppers see relevant council products without me maintaining product lists.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(e.g., "&lt;Council&gt; Council Products")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(template) + ACCS (council name)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council behavior (from user context vs. selector)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Council selector (dropdown + search/zip)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+ ACCS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 toggle (B2C / Leader)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/ 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source (council catalog)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(dynamic)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(label + link, e.g., "View all")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products / autoplay /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card content (image, name, price, badges, swatches)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(dynamic)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controls (arrows, dots)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`Council Products`</w:t>
      </w:r>
      <w:r>
        <w:t>) in the page document.</w:t>
      </w:r>
    </w:p>
    <w:p>
      <w:pPr>
        <w:pStyle w:val="ListBullet"/>
      </w:pPr>
      <w:r>
        <w:t>Heading may template the selected/resolved council name; products come from the council catalog (not authored).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A1 — Add the block</w:t>
      </w:r>
    </w:p>
    <w:p>
      <w:pPr>
        <w:pStyle w:val="ListBullet"/>
      </w:pPr>
      <w:r>
        <w:rPr>
          <w:b/>
        </w:rPr>
        <w:t>Given</w:t>
      </w:r>
      <w:r>
        <w:t xml:space="preserve"> an author is editing a page document in DA</w:t>
      </w:r>
    </w:p>
    <w:p>
      <w:pPr>
        <w:pStyle w:val="ListBullet"/>
      </w:pPr>
      <w:r>
        <w:rPr>
          <w:b/>
        </w:rPr>
        <w:t>When</w:t>
      </w:r>
      <w:r>
        <w:t xml:space="preserve"> they insert the </w:t>
      </w:r>
      <w:r>
        <w:rPr>
          <w:rFonts w:ascii="Consolas" w:hAnsi="Consolas"/>
          <w:color w:val="8B0000"/>
          <w:sz w:val="18"/>
        </w:rPr>
        <w:t>Council Products</w:t>
      </w:r>
      <w:r>
        <w:t xml:space="preserve"> block</w:t>
      </w:r>
    </w:p>
    <w:p>
      <w:pPr>
        <w:pStyle w:val="ListBullet"/>
      </w:pPr>
      <w:r>
        <w:rPr>
          <w:b/>
        </w:rPr>
        <w:t>Then</w:t>
      </w:r>
      <w:r>
        <w:t xml:space="preserve"> the block appears and renders in preview with a council selector and sample/live products.</w:t>
      </w:r>
    </w:p>
    <w:p>
      <w:r>
        <w:rPr>
          <w:b/>
        </w:rPr>
        <w:t>Scenario A2 — Heading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sets/keeps the heading (which may include the resolved council name)</w:t>
      </w:r>
    </w:p>
    <w:p>
      <w:pPr>
        <w:pStyle w:val="ListBullet"/>
      </w:pPr>
      <w:r>
        <w:rPr>
          <w:b/>
        </w:rPr>
        <w:t>Then</w:t>
      </w:r>
      <w:r>
        <w:t xml:space="preserve"> the heading renders; if left empty, no heading is output and the block still renders.</w:t>
      </w:r>
    </w:p>
    <w:p>
      <w:r>
        <w:rPr>
          <w:b/>
        </w:rPr>
        <w:t>Scenario A3 — Default council behavior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whether the default council comes from the signed-in user's context or requires selection</w:t>
      </w:r>
    </w:p>
    <w:p>
      <w:pPr>
        <w:pStyle w:val="ListBullet"/>
      </w:pPr>
      <w:r>
        <w:rPr>
          <w:b/>
        </w:rPr>
        <w:t>Then</w:t>
      </w:r>
      <w:r>
        <w:t xml:space="preserve"> on render the configured default behavior is applied.</w:t>
      </w:r>
    </w:p>
    <w:p>
      <w:r>
        <w:rPr>
          <w:b/>
        </w:rPr>
        <w:t>Scenario A4 — Persona toggle</w:t>
      </w:r>
    </w:p>
    <w:p>
      <w:pPr>
        <w:pStyle w:val="ListBullet"/>
      </w:pPr>
      <w:r>
        <w:rPr>
          <w:b/>
        </w:rPr>
        <w:t>Given</w:t>
      </w:r>
      <w:r>
        <w:t xml:space="preserve"> the block supports B2C / Leader</w:t>
      </w:r>
    </w:p>
    <w:p>
      <w:pPr>
        <w:pStyle w:val="ListBullet"/>
      </w:pPr>
      <w:r>
        <w:rPr>
          <w:b/>
        </w:rPr>
        <w:t>When</w:t>
      </w:r>
      <w:r>
        <w:t xml:space="preserve"> the author enables the toggle (or it derives from context)</w:t>
      </w:r>
    </w:p>
    <w:p>
      <w:pPr>
        <w:pStyle w:val="ListBullet"/>
      </w:pPr>
      <w:r>
        <w:rPr>
          <w:b/>
        </w:rPr>
        <w:t>Then</w:t>
      </w:r>
      <w:r>
        <w:t xml:space="preserve"> the appropriate persona view renders.</w:t>
      </w:r>
    </w:p>
    <w:p>
      <w:r>
        <w:rPr>
          <w:b/>
        </w:rPr>
        <w:t>Scenario A5 — CTA (optional)</w:t>
      </w:r>
    </w:p>
    <w:p>
      <w:pPr>
        <w:pStyle w:val="ListBullet"/>
      </w:pPr>
      <w:r>
        <w:rPr>
          <w:b/>
        </w:rPr>
        <w:t>Given</w:t>
      </w:r>
      <w:r>
        <w:t xml:space="preserve"> the author provides a CTA label and link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the CTA shows and links correctly; if omitted, no CTA renders and layout stays intact.</w:t>
      </w:r>
    </w:p>
    <w:p>
      <w:r>
        <w:rPr>
          <w:b/>
        </w:rPr>
        <w:t>Scenario A6 — No mandatory fields / graceful blank</w:t>
      </w:r>
    </w:p>
    <w:p>
      <w:pPr>
        <w:pStyle w:val="ListBullet"/>
      </w:pPr>
      <w:r>
        <w:rPr>
          <w:b/>
        </w:rPr>
        <w:t>Given</w:t>
      </w:r>
      <w:r>
        <w:t xml:space="preserve"> the author leaves any subset of authorable fields empty</w:t>
      </w:r>
    </w:p>
    <w:p>
      <w:pPr>
        <w:pStyle w:val="ListBullet"/>
      </w:pPr>
      <w:r>
        <w:rPr>
          <w:b/>
        </w:rPr>
        <w:t>When</w:t>
      </w:r>
      <w:r>
        <w:t xml:space="preserve"> the block saves and previews</w:t>
      </w:r>
    </w:p>
    <w:p>
      <w:pPr>
        <w:pStyle w:val="ListBullet"/>
      </w:pPr>
      <w:r>
        <w:rPr>
          <w:b/>
        </w:rPr>
        <w:t>Then</w:t>
      </w:r>
      <w:r>
        <w:t xml:space="preserve"> it saves and renders without error; only empty elements are omitted; no placeholder text.</w:t>
      </w:r>
    </w:p>
    <w:p>
      <w:r>
        <w:rPr>
          <w:b/>
        </w:rPr>
        <w:t>Scenario A7 — Preview parity</w:t>
      </w:r>
    </w:p>
    <w:p>
      <w:pPr>
        <w:pStyle w:val="ListBullet"/>
      </w:pPr>
      <w:r>
        <w:rPr>
          <w:b/>
        </w:rPr>
        <w:t>Given</w:t>
      </w:r>
      <w:r>
        <w:t xml:space="preserve"> the author has configured the block</w:t>
      </w:r>
    </w:p>
    <w:p>
      <w:pPr>
        <w:pStyle w:val="ListBullet"/>
      </w:pPr>
      <w:r>
        <w:rPr>
          <w:b/>
        </w:rPr>
        <w:t>When</w:t>
      </w:r>
      <w:r>
        <w:t xml:space="preserve"> they view DA preview</w:t>
      </w:r>
    </w:p>
    <w:p>
      <w:pPr>
        <w:pStyle w:val="ListBullet"/>
      </w:pPr>
      <w:r>
        <w:rPr>
          <w:b/>
        </w:rPr>
        <w:t>Then</w:t>
      </w:r>
      <w:r>
        <w:t xml:space="preserve"> the preview matches what will render live.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Council Products feed.</w:t>
      </w:r>
    </w:p>
    <w:p>
      <w:pPr>
        <w:pStyle w:val="ListBullet"/>
      </w:pPr>
      <w:r>
        <w:t>DA authoring environment / block registration.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how the default council resolves (user context / geolocation / manual selection).</w:t>
      </w:r>
    </w:p>
    <w:p>
      <w:pPr>
        <w:pStyle w:val="ListBullet"/>
      </w:pPr>
      <w:r>
        <w:t>Confirm B2C vs Leader toggle source (authored vs. user context).</w:t>
      </w:r>
    </w:p>
    <w:p>
      <w:pPr>
        <w:pStyle w:val="ListBullet"/>
      </w:pPr>
      <w:r>
        <w:t>Confirm CTA target ("View all" → council PLP?).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