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Hero Block</w:t>
      </w:r>
    </w:p>
    <w:p>
      <w:r>
        <w:rPr>
          <w:b/>
          <w:sz w:val="24"/>
        </w:rPr>
        <w:t xml:space="preserve">Map to: </w:t>
      </w:r>
      <w:r>
        <w:rPr>
          <w:sz w:val="24"/>
        </w:rPr>
        <w:t>Page Heading Hero Component</w:t>
      </w:r>
    </w:p>
    <w:p>
      <w:r>
        <w:t>A full-width banner that introduces the page with a background image, heading, and optional call-to-action.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b/>
                <w:color w:val="FFFFFF"/>
                <w:sz w:val="18"/>
                <w:shd w:fill="28A745"/>
              </w:rPr>
              <w:t xml:space="preserve"> GREENED </w:t>
            </w:r>
            <w:r>
              <w:rPr>
                <w:b/>
                <w:color w:val="FFFFFF"/>
                <w:sz w:val="18"/>
                <w:shd w:fill="FFC107"/>
              </w:rPr>
              <w:t xml:space="preserve"> NEED FOLLOW UP </w:t>
            </w:r>
            <w:r>
              <w:rPr>
                <w:b/>
                <w:color w:val="FFFFFF"/>
                <w:sz w:val="18"/>
                <w:shd w:fill="DC3545"/>
              </w:rPr>
              <w:t xml:space="preserve"> BLOCKED 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CUSA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Page Type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Explore/Landing Page, Product Detail Page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Customization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Custom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EDS Complexity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Integration Details/End Points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Static or Dynamic?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Static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Screenshot - Desktop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See Variant Screenshots section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Screenshot - Variations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See Variants section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Screenshot - Mobile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See Variant Screenshots section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URLs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https://www.thermofisher.com/us/en/home/electron-microscopy/products/scanning-electron-microscopes/volumescope-sem.html</w:t>
              <w:br/>
              <w:t>https://www.thermofisher.com/us/en/home/industrial/environmental.html</w:t>
              <w:br/>
              <w:t>https://www.thermofisher.com/us/en/home/clinical/clinical-genomics/reproductive-health-solutions/reproductive-health-education/carrier-screening-information.html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 full-width banner that introduces the page with a background image, heading, and optional call-to-action. The H1 heading is pulled automatically from page metadata. Supports breadcrumb overlay, foreground images, gradient overlays, and dual CTAs.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Comments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H1 is derived from page jcr:title, not authored in the block. Breadcrumb content is derived from the site navigation hierarchy.</w:t>
            </w:r>
          </w:p>
        </w:tc>
      </w:tr>
    </w:tbl>
    <w:p>
      <w:pPr>
        <w:pStyle w:val="Heading1"/>
      </w:pPr>
      <w:r>
        <w:t>Authoring Criteria</w:t>
      </w:r>
    </w:p>
    <w:p>
      <w:pPr>
        <w:pStyle w:val="ListBullet"/>
      </w:pPr>
      <w:r>
        <w:rPr>
          <w:b/>
        </w:rPr>
        <w:t>Image</w:t>
      </w:r>
      <w:r>
        <w:t xml:space="preserve"> — required. The hero background image.</w:t>
      </w:r>
    </w:p>
    <w:p>
      <w:pPr>
        <w:pStyle w:val="ListBullet"/>
      </w:pPr>
      <w:r>
        <w:rPr>
          <w:b/>
        </w:rPr>
        <w:t>Subtitle</w:t>
      </w:r>
      <w:r>
        <w:t xml:space="preserve"> — optional. Secondary text below the heading.</w:t>
      </w:r>
    </w:p>
    <w:p>
      <w:pPr>
        <w:pStyle w:val="ListBullet"/>
      </w:pPr>
      <w:r>
        <w:rPr>
          <w:b/>
        </w:rPr>
        <w:t>Description (rich text)</w:t>
      </w:r>
      <w:r>
        <w:t xml:space="preserve"> — optional. Supporting body copy.</w:t>
      </w:r>
    </w:p>
    <w:p>
      <w:pPr>
        <w:pStyle w:val="ListBullet"/>
      </w:pPr>
      <w:r>
        <w:rPr>
          <w:b/>
        </w:rPr>
        <w:t>CTA text + link</w:t>
      </w:r>
      <w:r>
        <w:t xml:space="preserve"> — optional. A call-to-action button. Can add 0, 1, or 2.</w:t>
      </w:r>
    </w:p>
    <w:p>
      <w:pPr>
        <w:pStyle w:val="ListBullet"/>
      </w:pPr>
      <w:r>
        <w:rPr>
          <w:b/>
        </w:rPr>
        <w:t>Overlay breadcrumb (yes/no)</w:t>
      </w:r>
      <w:r>
        <w:t xml:space="preserve"> — optional. Toggles a breadcrumb trail overlaid on the hero.</w:t>
      </w:r>
    </w:p>
    <w:p>
      <w:pPr>
        <w:pStyle w:val="ListBullet"/>
      </w:pPr>
      <w:r>
        <w:rPr>
          <w:b/>
        </w:rPr>
        <w:t>Foreground Image</w:t>
      </w:r>
      <w:r>
        <w:t xml:space="preserve"> — optional. A product or decorative image overlaid on the background.</w:t>
      </w:r>
    </w:p>
    <w:p>
      <w:r>
        <w:rPr>
          <w:b/>
          <w:color w:val="666666"/>
        </w:rPr>
        <w:t xml:space="preserve">Note: </w:t>
      </w:r>
      <w:r>
        <w:t>The H1 heading is pulled automatically from page metadata — authors do not author it within the block.</w:t>
      </w:r>
    </w:p>
    <w:p>
      <w:pPr>
        <w:pStyle w:val="Heading1"/>
      </w:pPr>
      <w:r>
        <w:t>Variants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/>
          </w:tcPr>
          <w:p>
            <w:r/>
            <w:r>
              <w:rPr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3969"/>
            <w:shd w:fill="4472C4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969"/>
            <w:shd w:fill="4472C4"/>
          </w:tcPr>
          <w:p>
            <w:r/>
            <w:r>
              <w:rPr>
                <w:b/>
                <w:color w:val="FFFFFF"/>
                <w:sz w:val="20"/>
              </w:rPr>
              <w:t>Reference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default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Text is white and aligned to the left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(Default hero with white left-aligned text over background image)</w:t>
            </w:r>
          </w:p>
        </w:tc>
      </w:tr>
      <w:tr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dark-text</w:t>
            </w:r>
          </w:p>
        </w:tc>
        <w:tc>
          <w:tcPr>
            <w:tcW w:type="dxa" w:w="3969"/>
            <w:shd w:fill="D9E2F3"/>
          </w:tcPr>
          <w:p>
            <w:r/>
            <w:r>
              <w:rPr>
                <w:sz w:val="20"/>
              </w:rPr>
              <w:t>Text is black</w:t>
            </w:r>
          </w:p>
        </w:tc>
        <w:tc>
          <w:tcPr>
            <w:tcW w:type="dxa" w:w="3969"/>
            <w:shd w:fill="D9E2F3"/>
          </w:tcPr>
          <w:p>
            <w:r/>
            <w:r>
              <w:rPr>
                <w:sz w:val="20"/>
              </w:rPr>
              <w:t>(Hero with dark/black text for use on lighter background images)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center-align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Text is centered on the hero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(Hero with centered heading text)</w:t>
            </w:r>
          </w:p>
        </w:tc>
      </w:tr>
      <w:tr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foreground-image</w:t>
            </w:r>
          </w:p>
        </w:tc>
        <w:tc>
          <w:tcPr>
            <w:tcW w:type="dxa" w:w="3969"/>
            <w:shd w:fill="D9E2F3"/>
          </w:tcPr>
          <w:p>
            <w:r/>
            <w:r>
              <w:rPr>
                <w:sz w:val="20"/>
              </w:rPr>
              <w:t>Includes both a background image and a foreground image</w:t>
            </w:r>
          </w:p>
        </w:tc>
        <w:tc>
          <w:tcPr>
            <w:tcW w:type="dxa" w:w="3969"/>
            <w:shd w:fill="D9E2F3"/>
          </w:tcPr>
          <w:p>
            <w:r/>
            <w:r>
              <w:rPr>
                <w:sz w:val="20"/>
              </w:rPr>
              <w:t>https://www.thermofisher.com/.../volumescope-sem.html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gradient-overlay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Dark gradient overlay on top of background image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https://www.thermofisher.com/.../environmental.html</w:t>
            </w:r>
          </w:p>
        </w:tc>
      </w:tr>
      <w:tr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image-focal-center</w:t>
            </w:r>
          </w:p>
        </w:tc>
        <w:tc>
          <w:tcPr>
            <w:tcW w:type="dxa" w:w="3969"/>
            <w:shd w:fill="D9E2F3"/>
          </w:tcPr>
          <w:p>
            <w:r/>
            <w:r>
              <w:rPr>
                <w:sz w:val="20"/>
              </w:rPr>
              <w:t>Background image focal point is centered; heading is centered</w:t>
            </w:r>
          </w:p>
        </w:tc>
        <w:tc>
          <w:tcPr>
            <w:tcW w:type="dxa" w:w="3969"/>
            <w:shd w:fill="D9E2F3"/>
          </w:tcPr>
          <w:p>
            <w:r/>
            <w:r>
              <w:rPr>
                <w:sz w:val="20"/>
              </w:rPr>
              <w:t>https://www.thermofisher.com/.../carrier-screening-information.html</w:t>
            </w:r>
          </w:p>
        </w:tc>
      </w:tr>
    </w:tbl>
    <w:p>
      <w:pPr>
        <w:pStyle w:val="Heading1"/>
      </w:pPr>
      <w:r>
        <w:t>Variant Screenshots</w:t>
      </w:r>
    </w:p>
    <w:p>
      <w:pPr>
        <w:pStyle w:val="Heading2"/>
      </w:pPr>
      <w:r>
        <w:t>foreground-image</w:t>
      </w:r>
    </w:p>
    <w:p>
      <w:r>
        <w:rPr>
          <w:b/>
        </w:rPr>
        <w:t xml:space="preserve">URL: </w:t>
      </w:r>
      <w:r>
        <w:t>https://www.thermofisher.com/us/en/home/electron-microscopy/products/scanning-electron-microscopes/volumescope-sem.html</w:t>
      </w:r>
    </w:p>
    <w:p>
      <w:r>
        <w:t>Hero with light gray background, left-aligned H1 "Volumescope 2 SEM", breadcrumb trail (Electron Microscopes &gt; Scanning Electron Microscopes &gt; Volumescope 2 SEM), two CTA buttons ("Contact us" primary red, "Download datasheet" outline), and a large foreground product image (3D SEM sample block + microscope instrument) on the right 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volumescope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gradient-overlay</w:t>
      </w:r>
    </w:p>
    <w:p>
      <w:r>
        <w:rPr>
          <w:b/>
        </w:rPr>
        <w:t xml:space="preserve">URL: </w:t>
      </w:r>
      <w:r>
        <w:t>https://www.thermofisher.com/us/en/home/industrial/environmental.html</w:t>
      </w:r>
    </w:p>
    <w:p>
      <w:r>
        <w:t>Hero with full-bleed nature/grass background image, dark gradient overlay for text legibility, breadcrumb trail (Home &gt; Industrial and Applied Sciences &gt; Environmental), white left-aligned H1 "Environmental", no CTAs, no foreground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environmental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image-focal-center</w:t>
      </w:r>
    </w:p>
    <w:p>
      <w:r>
        <w:rPr>
          <w:b/>
        </w:rPr>
        <w:t xml:space="preserve">URL: </w:t>
      </w:r>
      <w:r>
        <w:t>https://www.thermofisher.com/us/en/home/clinical/clinical-genomics/reproductive-health-solutions/reproductive-health-education/carrier-screening-information.html</w:t>
      </w:r>
    </w:p>
    <w:p>
      <w:r>
        <w:t>Hero with full-bleed teal/blue science-themed background image (DNA helix, embryo), background image focal point centered, breadcrumb trail (Molecular Testing Solutions &gt; Reproductive Health Education), white center-aligned H1 "Carrier Screening Information", no CTAs, no foreground image.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carrier-screening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Acceptance Criteria</w:t>
      </w:r>
    </w:p>
    <w:p>
      <w:pPr>
        <w:pStyle w:val="Heading2"/>
      </w:pPr>
      <w:r>
        <w:t>Author Acceptance Criteria</w:t>
      </w:r>
    </w:p>
    <w:p>
      <w:pPr>
        <w:pStyle w:val="ListBullet"/>
      </w:pPr>
      <w:r>
        <w:t>Author can add/replace the background image via the asset picker in Universal Editor.</w:t>
      </w:r>
    </w:p>
    <w:p>
      <w:pPr>
        <w:pStyle w:val="ListBullet"/>
      </w:pPr>
      <w:r>
        <w:t>Author can optionally add a foreground image (used with foreground-image variant).</w:t>
      </w:r>
    </w:p>
    <w:p>
      <w:pPr>
        <w:pStyle w:val="ListBullet"/>
      </w:pPr>
      <w:r>
        <w:t>Author can enter a subtitle (plain text) that renders below the H1.</w:t>
      </w:r>
    </w:p>
    <w:p>
      <w:pPr>
        <w:pStyle w:val="ListBullet"/>
      </w:pPr>
      <w:r>
        <w:t>Author can enter a description (rich text) that renders below the subtitle.</w:t>
      </w:r>
    </w:p>
    <w:p>
      <w:pPr>
        <w:pStyle w:val="ListBullet"/>
      </w:pPr>
      <w:r>
        <w:t>Author can add 0, 1, or 2 CTAs with configurable label, URL, open-in-new-tab toggle, and style (Primary/Outline).</w:t>
      </w:r>
    </w:p>
    <w:p>
      <w:pPr>
        <w:pStyle w:val="ListBullet"/>
      </w:pPr>
      <w:r>
        <w:t>Author can toggle breadcrumb visibility on/off.</w:t>
      </w:r>
    </w:p>
    <w:p>
      <w:pPr>
        <w:pStyle w:val="ListBullet"/>
      </w:pPr>
      <w:r>
        <w:t>Author can select one or more style variants (dark-text, center-align, foreground-image, gradient-overlay, image-focal-center) from the Style Options multiselect.</w:t>
      </w:r>
    </w:p>
    <w:p>
      <w:pPr>
        <w:pStyle w:val="ListBullet"/>
      </w:pPr>
      <w:r>
        <w:t>H1 heading automatically reflects the page title (jcr:title) without requiring in-block authoring.</w:t>
      </w:r>
    </w:p>
    <w:p>
      <w:pPr>
        <w:pStyle w:val="Heading2"/>
      </w:pPr>
      <w:r>
        <w:t>End User Acceptance Criteria</w:t>
      </w:r>
    </w:p>
    <w:p>
      <w:pPr>
        <w:pStyle w:val="ListBullet"/>
      </w:pPr>
      <w:r>
        <w:t>Hero renders full-width with the background image covering the banner area.</w:t>
      </w:r>
    </w:p>
    <w:p>
      <w:pPr>
        <w:pStyle w:val="ListBullet"/>
      </w:pPr>
      <w:r>
        <w:t>H1 heading displays the page title prominently.</w:t>
      </w:r>
    </w:p>
    <w:p>
      <w:pPr>
        <w:pStyle w:val="ListBullet"/>
      </w:pPr>
      <w:r>
        <w:t>Breadcrumb trail (when enabled) renders above the heading with correct navigation hierarchy.</w:t>
      </w:r>
    </w:p>
    <w:p>
      <w:pPr>
        <w:pStyle w:val="ListBullet"/>
      </w:pPr>
      <w:r>
        <w:t>CTAs are clickable and navigate to the correct URLs; "open in new tab" works when configured.</w:t>
      </w:r>
    </w:p>
    <w:p>
      <w:pPr>
        <w:pStyle w:val="ListBullet"/>
      </w:pPr>
      <w:r>
        <w:t>Foreground image (when present) renders overlaid on the right side of the hero.</w:t>
      </w:r>
    </w:p>
    <w:p>
      <w:pPr>
        <w:pStyle w:val="ListBullet"/>
      </w:pPr>
      <w:r>
        <w:t>Gradient overlay (when enabled) provides sufficient contrast for white text over the background image.</w:t>
      </w:r>
    </w:p>
    <w:p>
      <w:pPr>
        <w:pStyle w:val="ListBullet"/>
      </w:pPr>
      <w:r>
        <w:t>image-focal-center variant centers the background image focal point and centers the heading text.</w:t>
      </w:r>
    </w:p>
    <w:p>
      <w:pPr>
        <w:pStyle w:val="ListBullet"/>
      </w:pPr>
      <w:r>
        <w:t>Hero is fully responsive across desktop (1200px+), tablet (600px–1199px), and mobile (&lt;600px).</w:t>
      </w:r>
    </w:p>
    <w:p>
      <w:pPr>
        <w:pStyle w:val="ListBullet"/>
      </w:pPr>
      <w:r>
        <w:t>Hero meets WCAG 2.1 AA accessibility standards (contrast ratios, alt text on images, heading hierarchy).</w:t>
      </w:r>
    </w:p>
    <w:p>
      <w:pPr>
        <w:pStyle w:val="Heading2"/>
      </w:pPr>
      <w:r>
        <w:t>Developer Notes</w:t>
      </w:r>
    </w:p>
    <w:p>
      <w:pPr>
        <w:pStyle w:val="ListBullet"/>
      </w:pPr>
      <w:r>
        <w:t>The Hero block is a leaf block (flattened). All fields are on the block itself — no child items, no container behavior, no repeatable groups.</w:t>
      </w:r>
    </w:p>
    <w:p>
      <w:pPr>
        <w:pStyle w:val="ListBullet"/>
      </w:pPr>
      <w:r>
        <w:t>Dual CTA (0, 1, or 2 buttons) is handled by two fixed CTA field groups (primary + secondary), not by repeatable child items.</w:t>
      </w:r>
    </w:p>
    <w:p>
      <w:pPr>
        <w:pStyle w:val="ListBullet"/>
      </w:pPr>
      <w:r>
        <w:t>H1 is derived from jcr:title on the page node — it is NOT a field in the block model.</w:t>
      </w:r>
    </w:p>
    <w:p>
      <w:pPr>
        <w:pStyle w:val="ListBullet"/>
      </w:pPr>
      <w:r>
        <w:t>Breadcrumb content is derived from the content hierarchy / site navigation structure. The block only toggles visibility via overlayBreadcrumb.</w:t>
      </w:r>
    </w:p>
    <w:p>
      <w:pPr>
        <w:pStyle w:val="ListBullet"/>
      </w:pPr>
      <w:r>
        <w:t>Variants are applied as CSS classes on the block wrapper element via the classes multiselect field.</w:t>
      </w:r>
    </w:p>
    <w:p>
      <w:pPr>
        <w:pStyle w:val="ListBullet"/>
      </w:pPr>
      <w:r>
        <w:t>Background image uses object-fit: cover with focal point alignment controlled by variant class.</w:t>
      </w:r>
    </w:p>
    <w:p>
      <w:pPr>
        <w:pStyle w:val="Heading1"/>
      </w:pPr>
      <w:r>
        <w:t>Technical Details</w:t>
      </w:r>
    </w:p>
    <w:p>
      <w:pPr>
        <w:pStyle w:val="Heading2"/>
      </w:pPr>
      <w:r>
        <w:t>1. UE Authoring Contract</w:t>
      </w:r>
    </w:p>
    <w:p>
      <w:pPr>
        <w:pStyle w:val="Heading3"/>
      </w:pPr>
      <w:r>
        <w:t>1.1 AEM Resource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4472C4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803"/>
            <w:shd w:fill="4472C4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Resource Type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core/franklin/components/block/v1/block</w:t>
            </w:r>
          </w:p>
        </w:tc>
      </w:tr>
      <w:tr>
        <w:tc>
          <w:tcPr>
            <w:tcW w:type="dxa" w:w="3402"/>
            <w:shd w:fill="D9E2F3"/>
          </w:tcPr>
          <w:p>
            <w:r/>
            <w:r>
              <w:rPr>
                <w:sz w:val="20"/>
              </w:rPr>
              <w:t>Block Name</w:t>
            </w:r>
          </w:p>
        </w:tc>
        <w:tc>
          <w:tcPr>
            <w:tcW w:type="dxa" w:w="6803"/>
            <w:shd w:fill="D9E2F3"/>
          </w:tcPr>
          <w:p>
            <w:r/>
            <w:r>
              <w:rPr>
                <w:sz w:val="20"/>
              </w:rPr>
              <w:t>Hero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Model ID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hero</w:t>
            </w:r>
          </w:p>
        </w:tc>
      </w:tr>
      <w:tr>
        <w:tc>
          <w:tcPr>
            <w:tcW w:type="dxa" w:w="3402"/>
            <w:shd w:fill="D9E2F3"/>
          </w:tcPr>
          <w:p>
            <w:r/>
            <w:r>
              <w:rPr>
                <w:sz w:val="20"/>
              </w:rPr>
              <w:t>Block Type</w:t>
            </w:r>
          </w:p>
        </w:tc>
        <w:tc>
          <w:tcPr>
            <w:tcW w:type="dxa" w:w="6803"/>
            <w:shd w:fill="D9E2F3"/>
          </w:tcPr>
          <w:p>
            <w:r/>
            <w:r>
              <w:rPr>
                <w:sz w:val="20"/>
              </w:rPr>
              <w:t>Simple (flattened — leaf block, no children)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Nested Authoring Strategy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Flattened Block</w:t>
            </w:r>
          </w:p>
        </w:tc>
      </w:tr>
    </w:tbl>
    <w:p>
      <w:pPr>
        <w:pStyle w:val="Heading3"/>
      </w:pPr>
      <w:r>
        <w:t>1.2 Editable Properties in Universal Editor</w:t>
      </w:r>
    </w:p>
    <w:p>
      <w:r>
        <w:t>When an author clicks the Hero block in Universal Editor, the following fields appear in the properties panel: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fill="4472C4"/>
          </w:tcPr>
          <w:p>
            <w:r/>
            <w:r>
              <w:rPr>
                <w:b/>
                <w:color w:val="FFFFFF"/>
                <w:sz w:val="20"/>
              </w:rPr>
              <w:t>JCR Property</w:t>
            </w:r>
          </w:p>
        </w:tc>
        <w:tc>
          <w:tcPr>
            <w:tcW w:type="dxa" w:w="2268"/>
            <w:shd w:fill="4472C4"/>
          </w:tcPr>
          <w:p>
            <w:r/>
            <w:r>
              <w:rPr>
                <w:b/>
                <w:color w:val="FFFFFF"/>
                <w:sz w:val="20"/>
              </w:rPr>
              <w:t>UE Properties Panel</w:t>
            </w:r>
          </w:p>
        </w:tc>
        <w:tc>
          <w:tcPr>
            <w:tcW w:type="dxa" w:w="1587"/>
            <w:shd w:fill="4472C4"/>
          </w:tcPr>
          <w:p>
            <w:r/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b/>
                <w:color w:val="FFFFFF"/>
                <w:sz w:val="20"/>
              </w:rPr>
              <w:t>Editable?</w:t>
            </w:r>
          </w:p>
        </w:tc>
        <w:tc>
          <w:tcPr>
            <w:tcW w:type="dxa" w:w="3685"/>
            <w:shd w:fill="4472C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classes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Style Options (multiselect)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multiselect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Variant selection — options: dark-text, center-align, foreground-image, gradient-overlay, image-focal-center</w:t>
            </w:r>
          </w:p>
        </w:tc>
      </w:tr>
      <w:tr>
        <w:tc>
          <w:tcPr>
            <w:tcW w:type="dxa" w:w="1814"/>
            <w:shd w:fill="D9E2F3"/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Background Image</w:t>
            </w:r>
          </w:p>
        </w:tc>
        <w:tc>
          <w:tcPr>
            <w:tcW w:type="dxa" w:w="1587"/>
            <w:shd w:fill="D9E2F3"/>
          </w:tcPr>
          <w:p>
            <w:r/>
            <w:r>
              <w:rPr>
                <w:sz w:val="20"/>
              </w:rPr>
              <w:t>reference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  <w:shd w:fill="D9E2F3"/>
          </w:tcPr>
          <w:p>
            <w:r/>
            <w:r>
              <w:rPr>
                <w:sz w:val="20"/>
              </w:rPr>
              <w:t>Opens asset picker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imageAlt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Background Image Alt Text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Collapsed into image element</w:t>
            </w:r>
          </w:p>
        </w:tc>
      </w:tr>
      <w:tr>
        <w:tc>
          <w:tcPr>
            <w:tcW w:type="dxa" w:w="1814"/>
            <w:shd w:fill="D9E2F3"/>
          </w:tcPr>
          <w:p>
            <w:r/>
            <w:r>
              <w:rPr>
                <w:sz w:val="20"/>
              </w:rPr>
              <w:t>foregroundImage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Foreground Image</w:t>
            </w:r>
          </w:p>
        </w:tc>
        <w:tc>
          <w:tcPr>
            <w:tcW w:type="dxa" w:w="1587"/>
            <w:shd w:fill="D9E2F3"/>
          </w:tcPr>
          <w:p>
            <w:r/>
            <w:r>
              <w:rPr>
                <w:sz w:val="20"/>
              </w:rPr>
              <w:t>reference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  <w:shd w:fill="D9E2F3"/>
          </w:tcPr>
          <w:p>
            <w:r/>
            <w:r>
              <w:rPr>
                <w:sz w:val="20"/>
              </w:rPr>
              <w:t>Optional — used with foreground-image variant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foregroundImageAlt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Foreground Image Alt Text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Collapsed into foregroundImage element</w:t>
            </w:r>
          </w:p>
        </w:tc>
      </w:tr>
      <w:tr>
        <w:tc>
          <w:tcPr>
            <w:tcW w:type="dxa" w:w="1814"/>
            <w:shd w:fill="D9E2F3"/>
          </w:tcPr>
          <w:p>
            <w:r/>
            <w:r>
              <w:rPr>
                <w:sz w:val="20"/>
              </w:rPr>
              <w:t>subtitle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Subtitle</w:t>
            </w:r>
          </w:p>
        </w:tc>
        <w:tc>
          <w:tcPr>
            <w:tcW w:type="dxa" w:w="1587"/>
            <w:shd w:fill="D9E2F3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  <w:shd w:fill="D9E2F3"/>
          </w:tcPr>
          <w:p>
            <w:r/>
            <w:r>
              <w:rPr>
                <w:sz w:val="20"/>
              </w:rPr>
              <w:t>Secondary text below heading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richtext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Supports bold, italic, links, lists</w:t>
            </w:r>
          </w:p>
        </w:tc>
      </w:tr>
      <w:tr>
        <w:tc>
          <w:tcPr>
            <w:tcW w:type="dxa" w:w="1814"/>
            <w:shd w:fill="D9E2F3"/>
          </w:tcPr>
          <w:p>
            <w:r/>
            <w:r>
              <w:rPr>
                <w:sz w:val="20"/>
              </w:rPr>
              <w:t>overlayBreadcrumb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Show Breadcrumb</w:t>
            </w:r>
          </w:p>
        </w:tc>
        <w:tc>
          <w:tcPr>
            <w:tcW w:type="dxa" w:w="1587"/>
            <w:shd w:fill="D9E2F3"/>
          </w:tcPr>
          <w:p>
            <w:r/>
            <w:r>
              <w:rPr>
                <w:sz w:val="20"/>
              </w:rPr>
              <w:t>boolean (toggle)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  <w:shd w:fill="D9E2F3"/>
          </w:tcPr>
          <w:p>
            <w:r/>
            <w:r>
              <w:rPr>
                <w:sz w:val="20"/>
              </w:rPr>
              <w:t>Toggles breadcrumb trail visibility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primaryCtaLabel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Primary CTA Text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From CTA partial</w:t>
            </w:r>
          </w:p>
        </w:tc>
      </w:tr>
      <w:tr>
        <w:tc>
          <w:tcPr>
            <w:tcW w:type="dxa" w:w="1814"/>
            <w:shd w:fill="D9E2F3"/>
          </w:tcPr>
          <w:p>
            <w:r/>
            <w:r>
              <w:rPr>
                <w:sz w:val="20"/>
              </w:rPr>
              <w:t>primaryCtaHref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Primary CTA URL</w:t>
            </w:r>
          </w:p>
        </w:tc>
        <w:tc>
          <w:tcPr>
            <w:tcW w:type="dxa" w:w="1587"/>
            <w:shd w:fill="D9E2F3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  <w:shd w:fill="D9E2F3"/>
          </w:tcPr>
          <w:p>
            <w:r/>
            <w:r>
              <w:rPr>
                <w:sz w:val="20"/>
              </w:rPr>
              <w:t>From CTA partial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primaryCtaExternal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Primary CTA New Tab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boolean (toggle)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From CTA partial</w:t>
            </w:r>
          </w:p>
        </w:tc>
      </w:tr>
      <w:tr>
        <w:tc>
          <w:tcPr>
            <w:tcW w:type="dxa" w:w="1814"/>
            <w:shd w:fill="D9E2F3"/>
          </w:tcPr>
          <w:p>
            <w:r/>
            <w:r>
              <w:rPr>
                <w:sz w:val="20"/>
              </w:rPr>
              <w:t>primaryCtaType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Primary CTA Style</w:t>
            </w:r>
          </w:p>
        </w:tc>
        <w:tc>
          <w:tcPr>
            <w:tcW w:type="dxa" w:w="1587"/>
            <w:shd w:fill="D9E2F3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  <w:shd w:fill="D9E2F3"/>
          </w:tcPr>
          <w:p>
            <w:r/>
            <w:r>
              <w:rPr>
                <w:sz w:val="20"/>
              </w:rPr>
              <w:t>Options: Primary, Outline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secondaryCtaLabel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Secondary CTA Text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From CTA partial</w:t>
            </w:r>
          </w:p>
        </w:tc>
      </w:tr>
      <w:tr>
        <w:tc>
          <w:tcPr>
            <w:tcW w:type="dxa" w:w="1814"/>
            <w:shd w:fill="D9E2F3"/>
          </w:tcPr>
          <w:p>
            <w:r/>
            <w:r>
              <w:rPr>
                <w:sz w:val="20"/>
              </w:rPr>
              <w:t>secondaryCtaHref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Secondary CTA URL</w:t>
            </w:r>
          </w:p>
        </w:tc>
        <w:tc>
          <w:tcPr>
            <w:tcW w:type="dxa" w:w="1587"/>
            <w:shd w:fill="D9E2F3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  <w:shd w:fill="D9E2F3"/>
          </w:tcPr>
          <w:p>
            <w:r/>
            <w:r>
              <w:rPr>
                <w:sz w:val="20"/>
              </w:rPr>
              <w:t>From CTA partial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secondaryCtaExternal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Secondary CTA New Tab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boolean (toggle)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From CTA partial</w:t>
            </w:r>
          </w:p>
        </w:tc>
      </w:tr>
      <w:tr>
        <w:tc>
          <w:tcPr>
            <w:tcW w:type="dxa" w:w="1814"/>
            <w:shd w:fill="D9E2F3"/>
          </w:tcPr>
          <w:p>
            <w:r/>
            <w:r>
              <w:rPr>
                <w:sz w:val="20"/>
              </w:rPr>
              <w:t>secondaryCtaType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Secondary CTA Style</w:t>
            </w:r>
          </w:p>
        </w:tc>
        <w:tc>
          <w:tcPr>
            <w:tcW w:type="dxa" w:w="1587"/>
            <w:shd w:fill="D9E2F3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85"/>
            <w:shd w:fill="D9E2F3"/>
          </w:tcPr>
          <w:p>
            <w:r/>
            <w:r>
              <w:rPr>
                <w:sz w:val="20"/>
              </w:rPr>
              <w:t>Options: Primary, Outline</w:t>
            </w:r>
          </w:p>
        </w:tc>
      </w:tr>
    </w:tbl>
    <w:p>
      <w:pPr>
        <w:pStyle w:val="Heading3"/>
      </w:pPr>
      <w:r>
        <w:t>1.3 Container vs Leaf Fields</w:t>
      </w:r>
    </w:p>
    <w:p>
      <w:r>
        <w:t>The Hero block is a leaf block (flattened). All fields are on the block itself. There are no child items, no container behavior, and no repeatable groups.</w:t>
      </w:r>
    </w:p>
    <w:p>
      <w:r>
        <w:t>The dual CTA (0, 1, or 2 buttons) is handled by two fixed CTA field groups (primary + secondary), not by repeatable child items.</w:t>
      </w:r>
    </w:p>
    <w:p>
      <w:pPr>
        <w:pStyle w:val="Heading3"/>
      </w:pPr>
      <w:r>
        <w:t>1.4 References, Fragments, and Nested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4472C4"/>
          </w:tcPr>
          <w:p>
            <w:r/>
            <w:r>
              <w:rPr>
                <w:b/>
                <w:color w:val="FFFFFF"/>
                <w:sz w:val="20"/>
              </w:rPr>
              <w:t>Reference Type</w:t>
            </w:r>
          </w:p>
        </w:tc>
        <w:tc>
          <w:tcPr>
            <w:tcW w:type="dxa" w:w="3402"/>
            <w:shd w:fill="4472C4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535"/>
            <w:shd w:fill="4472C4"/>
          </w:tcPr>
          <w:p>
            <w:r/>
            <w:r>
              <w:rPr>
                <w:b/>
                <w:color w:val="FFFFFF"/>
                <w:sz w:val="20"/>
              </w:rPr>
              <w:t>UE Behavior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Background image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image (reference)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Opens DAM asset picker — author browses and selects</w:t>
            </w:r>
          </w:p>
        </w:tc>
      </w:tr>
      <w:tr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Foreground image</w:t>
            </w:r>
          </w:p>
        </w:tc>
        <w:tc>
          <w:tcPr>
            <w:tcW w:type="dxa" w:w="3402"/>
            <w:shd w:fill="D9E2F3"/>
          </w:tcPr>
          <w:p>
            <w:r/>
            <w:r>
              <w:rPr>
                <w:sz w:val="20"/>
              </w:rPr>
              <w:t>foregroundImage (reference)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sz w:val="20"/>
              </w:rPr>
              <w:t>Opens DAM asset picker — same behavior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CTA links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primaryCtaHref, secondaryCtaHref (text)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Author types URL or content path manually</w:t>
            </w:r>
          </w:p>
        </w:tc>
      </w:tr>
      <w:tr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H1 heading</w:t>
            </w:r>
          </w:p>
        </w:tc>
        <w:tc>
          <w:tcPr>
            <w:tcW w:type="dxa" w:w="3402"/>
            <w:shd w:fill="D9E2F3"/>
          </w:tcPr>
          <w:p>
            <w:r/>
            <w:r>
              <w:rPr>
                <w:sz w:val="20"/>
              </w:rPr>
              <w:t>Derived from jcr:title on page node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sz w:val="20"/>
              </w:rPr>
              <w:t>Not editable in block — author edits in Page Properties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Breadcrumb trail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Derived from content hierarchy / navigation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Not editable — overlayBreadcrumb shows breadcrumb above Hero block</w:t>
            </w:r>
          </w:p>
        </w:tc>
      </w:tr>
    </w:tbl>
    <w:p>
      <w:r>
        <w:t>No fragments or nested items are used by the Hero block.</w:t>
      </w:r>
    </w:p>
    <w:p>
      <w:pPr>
        <w:pStyle w:val="Heading3"/>
      </w:pPr>
      <w:r>
        <w:t>1.5 Block Registration — Component Definition</w:t>
      </w:r>
    </w:p>
    <w:p>
      <w:r>
        <w:t>The Hero block is registered in component-definition.json (or blocks/hero/_hero.json) so that Universal Editor knows it exists and can present it in the block palette: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"title": "Hero",</w:t>
        <w:br/>
        <w:t xml:space="preserve">  "id": "hero",</w:t>
        <w:br/>
        <w:t xml:space="preserve">  "plugins": {</w:t>
        <w:br/>
        <w:t xml:space="preserve">    "xwalk": {</w:t>
        <w:br/>
        <w:t xml:space="preserve">      "page": {</w:t>
        <w:br/>
        <w:t xml:space="preserve">        "resourceType": "core/franklin/components/block/v1/block",</w:t>
        <w:br/>
        <w:t xml:space="preserve">        "template": {</w:t>
        <w:br/>
        <w:t xml:space="preserve">          "name": "Hero",</w:t>
        <w:br/>
        <w:t xml:space="preserve">          "model": "hero"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2. Component Model Definition (Field-Level)</w:t>
      </w:r>
    </w:p>
    <w:p>
      <w:pPr>
        <w:pStyle w:val="Heading3"/>
      </w:pPr>
      <w:r>
        <w:t>2.1 Field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01"/>
            <w:shd w:fill="4472C4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84"/>
            <w:shd w:fill="4472C4"/>
          </w:tcPr>
          <w:p>
            <w:r/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850"/>
            <w:shd w:fill="4472C4"/>
          </w:tcPr>
          <w:p>
            <w:r/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134"/>
            <w:shd w:fill="4472C4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b/>
                <w:color w:val="FFFFFF"/>
                <w:sz w:val="20"/>
              </w:rPr>
              <w:t>Authored / Derived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b/>
                <w:color w:val="FFFFFF"/>
                <w:sz w:val="20"/>
              </w:rPr>
              <w:t>Collapsed Into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reference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Background Image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Authored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imageAlt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sz w:val="20"/>
              </w:rPr>
              <w:t>Background Image Alt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""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Authored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Collapsed into image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foregroundImage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reference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Foreground Image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Authored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foregroundImageAlt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sz w:val="20"/>
              </w:rPr>
              <w:t>Foreground Image Alt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Conditional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""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Authored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Collapsed into foregroundImage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subtitle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Subtitle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""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Authored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richtext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""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Authored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overlayBreadcrumb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Show Breadcrumb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Authored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primaryCtaLabel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sz w:val="20"/>
              </w:rPr>
              <w:t>Primary CTA Text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Authored (CTA partial)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primaryCtaHref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Primary CTA URL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Authored (CTA partial)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primaryCtaExternal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sz w:val="20"/>
              </w:rPr>
              <w:t>Primary CTA Open in New Tab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Authored (CTA partial)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primaryCtaType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Primary CTA Style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"primary"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Authored (CTA partial)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secondaryCtaLabel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sz w:val="20"/>
              </w:rPr>
              <w:t>Secondary CTA Text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Authored (CTA partial)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secondaryCtaHref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Secondary CTA URL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Authored (CTA partial)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secondaryCtaExternal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sz w:val="20"/>
              </w:rPr>
              <w:t>Secondary CTA Open in New Tab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Authored (CTA partial)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secondaryCtaType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Secondary CTA Style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"outline"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Authored (CTA partial)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classes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multiselect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sz w:val="20"/>
              </w:rPr>
              <w:t>Style Options</w:t>
            </w:r>
          </w:p>
        </w:tc>
        <w:tc>
          <w:tcPr>
            <w:tcW w:type="dxa" w:w="850"/>
            <w:shd w:fill="D9E2F3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"" (default)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Authored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CSS class on wrapper</w:t>
            </w:r>
          </w:p>
        </w:tc>
      </w:tr>
    </w:tbl>
    <w:p>
      <w:pPr>
        <w:pStyle w:val="Heading3"/>
      </w:pPr>
      <w:r>
        <w:t>2.2 Derived Fields (Not in Block Model)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4472C4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0"/>
              </w:rPr>
              <w:t>Used For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0"/>
              </w:rPr>
              <w:t>Why Not in Block Model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H1 Heading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jcr:title from page properties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Rendered as &lt;h1&gt; inside hero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The H1 heading is pulled automatically from page metadata — authors do not author it within the block</w:t>
            </w:r>
          </w:p>
        </w:tc>
      </w:tr>
      <w:tr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Breadcrumb content</w:t>
            </w:r>
          </w:p>
        </w:tc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Content hierarchy / site navigation structure</w:t>
            </w:r>
          </w:p>
        </w:tc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Rendered as breadcrumb trail when overlayBreadcrumb = true</w:t>
            </w:r>
          </w:p>
        </w:tc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Breadcrumb is structural/navigational. Block only toggles visibility.</w:t>
            </w:r>
          </w:p>
        </w:tc>
      </w:tr>
    </w:tbl>
    <w:p>
      <w:pPr>
        <w:pStyle w:val="Heading3"/>
      </w:pPr>
      <w:r>
        <w:t>Governance in component-filters.json</w:t>
      </w:r>
    </w:p>
    <w:p>
      <w:r>
        <w:t>The Hero block is included in the section-level filter: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{</w:t>
        <w:br/>
        <w:t xml:space="preserve">  "id": "section",</w:t>
        <w:br/>
        <w:t xml:space="preserve">  "components": [</w:t>
        <w:br/>
        <w:t xml:space="preserve">    "hero", "cards", "accordion",</w:t>
        <w:br/>
        <w:t xml:space="preserve">    "tabs", "columns", "..."</w:t>
        <w:br/>
        <w:t xml:space="preserve">  ]</w:t>
        <w:br/>
        <w:t>}</w:t>
      </w:r>
    </w:p>
    <w:p>
      <w:r>
        <w:t>The Hero block itself is not a container — it has no filter entry of its own. Authors cannot drop child blocks inside a Hero.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