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Solution Design Document — Introduction</w:t>
      </w:r>
    </w:p>
    <w:p>
      <w:pPr>
        <w:pStyle w:val="Heading1"/>
      </w:pPr>
      <w:r>
        <w:t>1. Project Introduction</w:t>
      </w:r>
    </w:p>
    <w:p>
      <w:pPr>
        <w:pStyle w:val="Heading2"/>
      </w:pPr>
      <w:r>
        <w:t>1.1 Overview</w:t>
      </w:r>
    </w:p>
    <w:p>
      <w:r>
        <w:t>Thermo Fisher Scientific is undertaking a strategic migration of its web experience platform from AEM 6.4 (on-premise) to AEM Edge Delivery Services (EDS) with Document Authoring (DA) as the primary content authoring interface.</w:t>
      </w:r>
    </w:p>
    <w:p>
      <w:r>
        <w:t>This Solution Design Document (SDD) defines the technical architecture, block library design, integration patterns, and migration strategy for delivering the Thermo Fisher US site (thermofisher.com/us/en/) on EDS with DA authoring at da.live.</w:t>
      </w:r>
    </w:p>
    <w:p>
      <w:pPr>
        <w:pStyle w:val="Heading2"/>
      </w:pPr>
      <w:r>
        <w:t>1.2 Business Context</w:t>
      </w:r>
    </w:p>
    <w:p>
      <w:pPr>
        <w:pStyle w:val="ListBullet"/>
      </w:pPr>
      <w:r>
        <w:t>Current State: The existing site runs on AEM 6.4 with traditional Touch UI authoring, JCR-based content repository, component dialogs, and Style System variants.</w:t>
      </w:r>
    </w:p>
    <w:p>
      <w:pPr>
        <w:pStyle w:val="ListBullet"/>
      </w:pPr>
      <w:r>
        <w:t>Target State: AEM Edge Delivery Services with Document Authoring (DA) — a performance-first, document-based content platform served from a global edge CDN with sub-second page loads. Authors create content through a web-based editor at da.live, and the architecture eliminates JCR repositories, OSGi configurations, and server-side rendering, delivering Lighthouse 100 across all Core Web Vitals.</w:t>
      </w:r>
    </w:p>
    <w:p>
      <w:pPr>
        <w:pStyle w:val="ListBullet"/>
      </w:pPr>
      <w:r>
        <w:t>Business Driver: Achieve Lighthouse 100 performance scores (LCP, CLS, INP)</w:t>
      </w:r>
    </w:p>
    <w:p>
      <w:pPr>
        <w:pStyle w:val="ListBullet"/>
      </w:pPr>
      <w:r>
        <w:t>Business Driver: Simplify content authoring — from complex component dialogs to intuitive document editing</w:t>
      </w:r>
    </w:p>
    <w:p>
      <w:pPr>
        <w:pStyle w:val="ListBullet"/>
      </w:pPr>
      <w:r>
        <w:t>Business Driver: Reduce time-to-publish and accelerate content velocity</w:t>
      </w:r>
    </w:p>
    <w:p>
      <w:pPr>
        <w:pStyle w:val="ListBullet"/>
      </w:pPr>
      <w:r>
        <w:t>Business Driver: Improve SEO rankings through Web Vitals optimization</w:t>
      </w:r>
    </w:p>
    <w:p>
      <w:pPr>
        <w:pStyle w:val="ListBullet"/>
      </w:pPr>
      <w:r>
        <w:t>Business Driver: Modernize the technology stack with cloud-native, low-maintenance infrastructure</w:t>
      </w:r>
    </w:p>
    <w:p>
      <w:pPr>
        <w:pStyle w:val="Heading2"/>
      </w:pPr>
      <w:r>
        <w:t>1.3 Authoring Model</w:t>
      </w:r>
    </w:p>
    <w:p>
      <w:r>
        <w:t>The project adopts Document Authoring (DA) as the content management interface, replacing traditional AEM Touch UI with a streamlined, document-based authoring experience.</w:t>
      </w:r>
    </w:p>
    <w:p>
      <w:pPr>
        <w:pStyle w:val="ListBullet"/>
      </w:pPr>
      <w:r>
        <w:t>Authors create and manage content through a web-based editor at da.live, offering a simplified word-processor-like experience with no component dialogs, JCR nodes, or Touch UI interactions.</w:t>
      </w:r>
    </w:p>
    <w:p>
      <w:pPr>
        <w:pStyle w:val="ListBullet"/>
      </w:pPr>
      <w:r>
        <w:t>Content is structured as text, headings, images, links, and block tables — where each table represents a component (block) with the header row identifying the block type and rows providing the content.</w:t>
      </w:r>
    </w:p>
    <w:p>
      <w:pPr>
        <w:pStyle w:val="ListBullet"/>
      </w:pPr>
      <w:r>
        <w:t>Block variants are specified inline using parentheses in the block name (e.g., Accordion (icon-left)), replacing the AEM Style System dropdown.</w:t>
      </w:r>
    </w:p>
    <w:p>
      <w:pPr>
        <w:pStyle w:val="ListBullet"/>
      </w:pPr>
      <w:r>
        <w:t>Complex or nested content that cannot be represented within a single table cell is handled via the fragment reference pattern — authors link to separately authored fragment pages whose content is rendered inline at delivery time.</w:t>
      </w:r>
    </w:p>
    <w:p>
      <w:pPr>
        <w:pStyle w:val="Heading2"/>
      </w:pPr>
      <w:r>
        <w:t>1.4 Key Technology Stack</w:t>
      </w:r>
    </w:p>
    <w:tbl>
      <w:tblPr>
        <w:tblStyle w:val="TableGrid"/>
        <w:tblW w:type="auto" w:w="0"/>
        <w:jc w:val="left"/>
        <w:tblLook w:firstColumn="1" w:firstRow="1" w:lastColumn="0" w:lastRow="0" w:noHBand="0" w:noVBand="1" w:val="04A0"/>
      </w:tblPr>
      <w:tblGrid>
        <w:gridCol w:w="4320"/>
        <w:gridCol w:w="4320"/>
      </w:tblGrid>
      <w:tr>
        <w:tc>
          <w:tcPr>
            <w:tcW w:type="dxa" w:w="2268"/>
            <w:shd w:fill="2F5496"/>
          </w:tcPr>
          <w:p>
            <w:r/>
            <w:r>
              <w:rPr>
                <w:b/>
                <w:color w:val="FFFFFF"/>
                <w:sz w:val="20"/>
              </w:rPr>
              <w:t>Layer</w:t>
            </w:r>
          </w:p>
        </w:tc>
        <w:tc>
          <w:tcPr>
            <w:tcW w:type="dxa" w:w="7937"/>
            <w:shd w:fill="2F5496"/>
          </w:tcPr>
          <w:p>
            <w:r/>
            <w:r>
              <w:rPr>
                <w:b/>
                <w:color w:val="FFFFFF"/>
                <w:sz w:val="20"/>
              </w:rPr>
              <w:t>Technology</w:t>
            </w:r>
          </w:p>
        </w:tc>
      </w:tr>
      <w:tr>
        <w:tc>
          <w:tcPr>
            <w:tcW w:type="dxa" w:w="2268"/>
          </w:tcPr>
          <w:p>
            <w:r/>
            <w:r>
              <w:rPr>
                <w:sz w:val="20"/>
              </w:rPr>
              <w:t>Authoring</w:t>
            </w:r>
          </w:p>
        </w:tc>
        <w:tc>
          <w:tcPr>
            <w:tcW w:type="dxa" w:w="7937"/>
          </w:tcPr>
          <w:p>
            <w:r/>
            <w:r>
              <w:rPr>
                <w:sz w:val="20"/>
              </w:rPr>
              <w:t>Adobe Document Authoring (DA) at da.live</w:t>
            </w:r>
          </w:p>
        </w:tc>
      </w:tr>
      <w:tr>
        <w:tc>
          <w:tcPr>
            <w:tcW w:type="dxa" w:w="2268"/>
            <w:shd w:fill="D6DCE4"/>
          </w:tcPr>
          <w:p>
            <w:r/>
            <w:r>
              <w:rPr>
                <w:sz w:val="20"/>
              </w:rPr>
              <w:t>Delivery</w:t>
            </w:r>
          </w:p>
        </w:tc>
        <w:tc>
          <w:tcPr>
            <w:tcW w:type="dxa" w:w="7937"/>
            <w:shd w:fill="D6DCE4"/>
          </w:tcPr>
          <w:p>
            <w:r/>
            <w:r>
              <w:rPr>
                <w:sz w:val="20"/>
              </w:rPr>
              <w:t>AEM Edge Delivery Services (EDS) — global edge CDN</w:t>
            </w:r>
          </w:p>
        </w:tc>
      </w:tr>
      <w:tr>
        <w:tc>
          <w:tcPr>
            <w:tcW w:type="dxa" w:w="2268"/>
          </w:tcPr>
          <w:p>
            <w:r/>
            <w:r>
              <w:rPr>
                <w:sz w:val="20"/>
              </w:rPr>
              <w:t>Code</w:t>
            </w:r>
          </w:p>
        </w:tc>
        <w:tc>
          <w:tcPr>
            <w:tcW w:type="dxa" w:w="7937"/>
          </w:tcPr>
          <w:p>
            <w:r/>
            <w:r>
              <w:rPr>
                <w:sz w:val="20"/>
              </w:rPr>
              <w:t>Vanilla JavaScript (ES6+), CSS3, no build step, no frameworks</w:t>
            </w:r>
          </w:p>
        </w:tc>
      </w:tr>
      <w:tr>
        <w:tc>
          <w:tcPr>
            <w:tcW w:type="dxa" w:w="2268"/>
            <w:shd w:fill="D6DCE4"/>
          </w:tcPr>
          <w:p>
            <w:r/>
            <w:r>
              <w:rPr>
                <w:sz w:val="20"/>
              </w:rPr>
              <w:t>Content Storage</w:t>
            </w:r>
          </w:p>
        </w:tc>
        <w:tc>
          <w:tcPr>
            <w:tcW w:type="dxa" w:w="7937"/>
            <w:shd w:fill="D6DCE4"/>
          </w:tcPr>
          <w:p>
            <w:r/>
            <w:r>
              <w:rPr>
                <w:sz w:val="20"/>
              </w:rPr>
              <w:t>DA-managed documents (HTML-based structure)</w:t>
            </w:r>
          </w:p>
        </w:tc>
      </w:tr>
      <w:tr>
        <w:tc>
          <w:tcPr>
            <w:tcW w:type="dxa" w:w="2268"/>
          </w:tcPr>
          <w:p>
            <w:r/>
            <w:r>
              <w:rPr>
                <w:sz w:val="20"/>
              </w:rPr>
              <w:t>Repository</w:t>
            </w:r>
          </w:p>
        </w:tc>
        <w:tc>
          <w:tcPr>
            <w:tcW w:type="dxa" w:w="7937"/>
          </w:tcPr>
          <w:p>
            <w:r/>
            <w:r>
              <w:rPr>
                <w:sz w:val="20"/>
              </w:rPr>
              <w:t>GitHub (code sync with EDS)</w:t>
            </w:r>
          </w:p>
        </w:tc>
      </w:tr>
      <w:tr>
        <w:tc>
          <w:tcPr>
            <w:tcW w:type="dxa" w:w="2268"/>
            <w:shd w:fill="D6DCE4"/>
          </w:tcPr>
          <w:p>
            <w:r/>
            <w:r>
              <w:rPr>
                <w:sz w:val="20"/>
              </w:rPr>
              <w:t>Forms</w:t>
            </w:r>
          </w:p>
        </w:tc>
        <w:tc>
          <w:tcPr>
            <w:tcW w:type="dxa" w:w="7937"/>
            <w:shd w:fill="D6DCE4"/>
          </w:tcPr>
          <w:p>
            <w:r/>
            <w:r>
              <w:rPr>
                <w:sz w:val="20"/>
              </w:rPr>
              <w:t>EDS Forms (rule editor, validations, reCAPTCHA)</w:t>
            </w:r>
          </w:p>
        </w:tc>
      </w:tr>
      <w:tr>
        <w:tc>
          <w:tcPr>
            <w:tcW w:type="dxa" w:w="2268"/>
          </w:tcPr>
          <w:p>
            <w:r/>
            <w:r>
              <w:rPr>
                <w:sz w:val="20"/>
              </w:rPr>
              <w:t>Analytics</w:t>
            </w:r>
          </w:p>
        </w:tc>
        <w:tc>
          <w:tcPr>
            <w:tcW w:type="dxa" w:w="7937"/>
          </w:tcPr>
          <w:p>
            <w:r/>
            <w:r>
              <w:rPr>
                <w:sz w:val="20"/>
              </w:rPr>
              <w:t>Data Layer integration (Adobe Analytics / Target)</w:t>
            </w:r>
          </w:p>
        </w:tc>
      </w:tr>
      <w:tr>
        <w:tc>
          <w:tcPr>
            <w:tcW w:type="dxa" w:w="2268"/>
            <w:shd w:fill="D6DCE4"/>
          </w:tcPr>
          <w:p>
            <w:r/>
            <w:r>
              <w:rPr>
                <w:sz w:val="20"/>
              </w:rPr>
              <w:t>Video</w:t>
            </w:r>
          </w:p>
        </w:tc>
        <w:tc>
          <w:tcPr>
            <w:tcW w:type="dxa" w:w="7937"/>
            <w:shd w:fill="D6DCE4"/>
          </w:tcPr>
          <w:p>
            <w:r/>
            <w:r>
              <w:rPr>
                <w:sz w:val="20"/>
              </w:rPr>
              <w:t>Brightcove integration</w:t>
            </w:r>
          </w:p>
        </w:tc>
      </w:tr>
    </w:tbl>
    <w:p>
      <w:pPr>
        <w:pStyle w:val="Heading1"/>
      </w:pPr>
      <w:r>
        <w:t>2. In Scope</w:t>
      </w:r>
    </w:p>
    <w:p>
      <w:pPr>
        <w:pStyle w:val="ListBullet"/>
      </w:pPr>
      <w:r>
        <w:t>Migration of thermofisher.com from on-premise AEM (hosted on AWS) to AEM Edge Delivery Services with Document Authoring (DA).</w:t>
      </w:r>
    </w:p>
    <w:p>
      <w:pPr>
        <w:pStyle w:val="ListBullet"/>
      </w:pPr>
      <w:r>
        <w:t>DA authoring model design — block table structures, variant naming conventions, section patterns, and metadata standards.</w:t>
      </w:r>
    </w:p>
    <w:p>
      <w:pPr>
        <w:pStyle w:val="ListBullet"/>
      </w:pPr>
      <w:r>
        <w:t>AEM Cloud onboarding including IMS / Identity configuration.</w:t>
      </w:r>
    </w:p>
    <w:p>
      <w:pPr>
        <w:pStyle w:val="ListBullet"/>
      </w:pPr>
      <w:r>
        <w:t>User groups and permissions model for EDS and AEM Cloud authoring environments.</w:t>
      </w:r>
    </w:p>
    <w:p>
      <w:pPr>
        <w:pStyle w:val="ListBullet"/>
      </w:pPr>
      <w:r>
        <w:t>Integrations with dependent systems — Header/Footer, Brightcove (video), Dynamic Merchandising Offers, Form Submissions, and Data Layer (Analytics/Target).</w:t>
      </w:r>
    </w:p>
    <w:p>
      <w:pPr>
        <w:pStyle w:val="ListBullet"/>
      </w:pPr>
      <w:r>
        <w:t>Asset migration strategy and execution.</w:t>
      </w:r>
    </w:p>
    <w:p>
      <w:pPr>
        <w:pStyle w:val="ListBullet"/>
      </w:pPr>
      <w:r>
        <w:t>Current content workflows — review, approval, and publishing.</w:t>
      </w:r>
    </w:p>
    <w:p>
      <w:pPr>
        <w:pStyle w:val="ListBullet"/>
      </w:pPr>
      <w:r>
        <w:t>Third-party and extension integrations (e.g., Immersive Experience).</w:t>
      </w:r>
    </w:p>
    <w:p>
      <w:pPr>
        <w:pStyle w:val="ListBullet"/>
      </w:pPr>
      <w:r>
        <w:t>Vanity / friendly URL migration and redirect strategy.</w:t>
      </w:r>
    </w:p>
    <w:p>
      <w:pPr>
        <w:pStyle w:val="ListBullet"/>
      </w:pPr>
      <w:r>
        <w:t>MSM (Multi-Site Manager), translation, and rollout configuration for regional sites.</w:t>
      </w:r>
    </w:p>
    <w:p>
      <w:pPr>
        <w:pStyle w:val="Heading2"/>
      </w:pPr>
      <w:r>
        <w:t>2.1 Block Library</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tcPr>
          <w:p>
            <w:r/>
            <w:r>
              <w:rPr>
                <w:b/>
                <w:color w:val="FFFFFF"/>
                <w:sz w:val="20"/>
              </w:rPr>
              <w:t>Block</w:t>
            </w:r>
          </w:p>
        </w:tc>
        <w:tc>
          <w:tcPr>
            <w:tcW w:type="dxa" w:w="1701"/>
            <w:shd w:fill="2F5496"/>
          </w:tcPr>
          <w:p>
            <w:r/>
            <w:r>
              <w:rPr>
                <w:b/>
                <w:color w:val="FFFFFF"/>
                <w:sz w:val="20"/>
              </w:rPr>
              <w:t>Complexity</w:t>
            </w:r>
          </w:p>
        </w:tc>
        <w:tc>
          <w:tcPr>
            <w:tcW w:type="dxa" w:w="5669"/>
            <w:shd w:fill="2F5496"/>
          </w:tcPr>
          <w:p>
            <w:r/>
            <w:r>
              <w:rPr>
                <w:b/>
                <w:color w:val="FFFFFF"/>
                <w:sz w:val="20"/>
              </w:rPr>
              <w:t>Notes</w:t>
            </w:r>
          </w:p>
        </w:tc>
      </w:tr>
      <w:tr>
        <w:tc>
          <w:tcPr>
            <w:tcW w:type="dxa" w:w="2835"/>
          </w:tcPr>
          <w:p>
            <w:r/>
            <w:r>
              <w:rPr>
                <w:sz w:val="20"/>
              </w:rPr>
              <w:t>Accordion</w:t>
            </w:r>
          </w:p>
        </w:tc>
        <w:tc>
          <w:tcPr>
            <w:tcW w:type="dxa" w:w="1701"/>
          </w:tcPr>
          <w:p>
            <w:r/>
            <w:r>
              <w:rPr>
                <w:sz w:val="20"/>
              </w:rPr>
              <w:t>Medium</w:t>
            </w:r>
          </w:p>
        </w:tc>
        <w:tc>
          <w:tcPr>
            <w:tcW w:type="dxa" w:w="5669"/>
          </w:tcPr>
          <w:p>
            <w:r/>
            <w:r>
              <w:rPr>
                <w:sz w:val="20"/>
              </w:rPr>
              <w:t>4 variants; fragment reference for complex content</w:t>
            </w:r>
          </w:p>
        </w:tc>
      </w:tr>
      <w:tr>
        <w:tc>
          <w:tcPr>
            <w:tcW w:type="dxa" w:w="2835"/>
            <w:shd w:fill="D6DCE4"/>
          </w:tcPr>
          <w:p>
            <w:r/>
            <w:r>
              <w:rPr>
                <w:sz w:val="20"/>
              </w:rPr>
              <w:t>Tabs</w:t>
            </w:r>
          </w:p>
        </w:tc>
        <w:tc>
          <w:tcPr>
            <w:tcW w:type="dxa" w:w="1701"/>
            <w:shd w:fill="D6DCE4"/>
          </w:tcPr>
          <w:p>
            <w:r/>
            <w:r>
              <w:rPr>
                <w:sz w:val="20"/>
              </w:rPr>
              <w:t>Medium</w:t>
            </w:r>
          </w:p>
        </w:tc>
        <w:tc>
          <w:tcPr>
            <w:tcW w:type="dxa" w:w="5669"/>
            <w:shd w:fill="D6DCE4"/>
          </w:tcPr>
          <w:p>
            <w:r/>
            <w:r>
              <w:rPr>
                <w:sz w:val="20"/>
              </w:rPr>
              <w:t>Tab container with repeatable panels</w:t>
            </w:r>
          </w:p>
        </w:tc>
      </w:tr>
      <w:tr>
        <w:tc>
          <w:tcPr>
            <w:tcW w:type="dxa" w:w="2835"/>
          </w:tcPr>
          <w:p>
            <w:r/>
            <w:r>
              <w:rPr>
                <w:sz w:val="20"/>
              </w:rPr>
              <w:t>Hero</w:t>
            </w:r>
          </w:p>
        </w:tc>
        <w:tc>
          <w:tcPr>
            <w:tcW w:type="dxa" w:w="1701"/>
          </w:tcPr>
          <w:p>
            <w:r/>
            <w:r>
              <w:rPr>
                <w:sz w:val="20"/>
              </w:rPr>
              <w:t>Medium</w:t>
            </w:r>
          </w:p>
        </w:tc>
        <w:tc>
          <w:tcPr>
            <w:tcW w:type="dxa" w:w="5669"/>
          </w:tcPr>
          <w:p>
            <w:r/>
            <w:r>
              <w:rPr>
                <w:sz w:val="20"/>
              </w:rPr>
              <w:t>6 variants; foreground image, gradient overlay</w:t>
            </w:r>
          </w:p>
        </w:tc>
      </w:tr>
      <w:tr>
        <w:tc>
          <w:tcPr>
            <w:tcW w:type="dxa" w:w="2835"/>
            <w:shd w:fill="D6DCE4"/>
          </w:tcPr>
          <w:p>
            <w:r/>
            <w:r>
              <w:rPr>
                <w:sz w:val="20"/>
              </w:rPr>
              <w:t>Text and Image (Cards)</w:t>
            </w:r>
          </w:p>
        </w:tc>
        <w:tc>
          <w:tcPr>
            <w:tcW w:type="dxa" w:w="1701"/>
            <w:shd w:fill="D6DCE4"/>
          </w:tcPr>
          <w:p>
            <w:r/>
            <w:r>
              <w:rPr>
                <w:sz w:val="20"/>
              </w:rPr>
              <w:t>Medium</w:t>
            </w:r>
          </w:p>
        </w:tc>
        <w:tc>
          <w:tcPr>
            <w:tcW w:type="dxa" w:w="5669"/>
            <w:shd w:fill="D6DCE4"/>
          </w:tcPr>
          <w:p>
            <w:r/>
            <w:r>
              <w:rPr>
                <w:sz w:val="20"/>
              </w:rPr>
              <w:t>Multiple card layouts</w:t>
            </w:r>
          </w:p>
        </w:tc>
      </w:tr>
      <w:tr>
        <w:tc>
          <w:tcPr>
            <w:tcW w:type="dxa" w:w="2835"/>
          </w:tcPr>
          <w:p>
            <w:r/>
            <w:r>
              <w:rPr>
                <w:sz w:val="20"/>
              </w:rPr>
              <w:t>CTA</w:t>
            </w:r>
          </w:p>
        </w:tc>
        <w:tc>
          <w:tcPr>
            <w:tcW w:type="dxa" w:w="1701"/>
          </w:tcPr>
          <w:p>
            <w:r/>
            <w:r>
              <w:rPr>
                <w:sz w:val="20"/>
              </w:rPr>
              <w:t>Low</w:t>
            </w:r>
          </w:p>
        </w:tc>
        <w:tc>
          <w:tcPr>
            <w:tcW w:type="dxa" w:w="5669"/>
          </w:tcPr>
          <w:p>
            <w:r/>
            <w:r>
              <w:rPr>
                <w:sz w:val="20"/>
              </w:rPr>
              <w:t>Call-to-action buttons and links</w:t>
            </w:r>
          </w:p>
        </w:tc>
      </w:tr>
      <w:tr>
        <w:tc>
          <w:tcPr>
            <w:tcW w:type="dxa" w:w="2835"/>
            <w:shd w:fill="D6DCE4"/>
          </w:tcPr>
          <w:p>
            <w:r/>
            <w:r>
              <w:rPr>
                <w:sz w:val="20"/>
              </w:rPr>
              <w:t>Breadcrumb</w:t>
            </w:r>
          </w:p>
        </w:tc>
        <w:tc>
          <w:tcPr>
            <w:tcW w:type="dxa" w:w="1701"/>
            <w:shd w:fill="D6DCE4"/>
          </w:tcPr>
          <w:p>
            <w:r/>
            <w:r>
              <w:rPr>
                <w:sz w:val="20"/>
              </w:rPr>
              <w:t>Low</w:t>
            </w:r>
          </w:p>
        </w:tc>
        <w:tc>
          <w:tcPr>
            <w:tcW w:type="dxa" w:w="5669"/>
            <w:shd w:fill="D6DCE4"/>
          </w:tcPr>
          <w:p>
            <w:r/>
            <w:r>
              <w:rPr>
                <w:sz w:val="20"/>
              </w:rPr>
              <w:t>Auto-generated from navigation hierarchy</w:t>
            </w:r>
          </w:p>
        </w:tc>
      </w:tr>
      <w:tr>
        <w:tc>
          <w:tcPr>
            <w:tcW w:type="dxa" w:w="2835"/>
          </w:tcPr>
          <w:p>
            <w:r/>
            <w:r>
              <w:rPr>
                <w:sz w:val="20"/>
              </w:rPr>
              <w:t>Columns</w:t>
            </w:r>
          </w:p>
        </w:tc>
        <w:tc>
          <w:tcPr>
            <w:tcW w:type="dxa" w:w="1701"/>
          </w:tcPr>
          <w:p>
            <w:r/>
            <w:r>
              <w:rPr>
                <w:sz w:val="20"/>
              </w:rPr>
              <w:t>Low</w:t>
            </w:r>
          </w:p>
        </w:tc>
        <w:tc>
          <w:tcPr>
            <w:tcW w:type="dxa" w:w="5669"/>
          </w:tcPr>
          <w:p>
            <w:r/>
            <w:r>
              <w:rPr>
                <w:sz w:val="20"/>
              </w:rPr>
              <w:t>Multi-column layouts</w:t>
            </w:r>
          </w:p>
        </w:tc>
      </w:tr>
      <w:tr>
        <w:tc>
          <w:tcPr>
            <w:tcW w:type="dxa" w:w="2835"/>
            <w:shd w:fill="D6DCE4"/>
          </w:tcPr>
          <w:p>
            <w:r/>
            <w:r>
              <w:rPr>
                <w:sz w:val="20"/>
              </w:rPr>
              <w:t>Custom Table</w:t>
            </w:r>
          </w:p>
        </w:tc>
        <w:tc>
          <w:tcPr>
            <w:tcW w:type="dxa" w:w="1701"/>
            <w:shd w:fill="D6DCE4"/>
          </w:tcPr>
          <w:p>
            <w:r/>
            <w:r>
              <w:rPr>
                <w:sz w:val="20"/>
              </w:rPr>
              <w:t>Medium</w:t>
            </w:r>
          </w:p>
        </w:tc>
        <w:tc>
          <w:tcPr>
            <w:tcW w:type="dxa" w:w="5669"/>
            <w:shd w:fill="D6DCE4"/>
          </w:tcPr>
          <w:p>
            <w:r/>
            <w:r>
              <w:rPr>
                <w:sz w:val="20"/>
              </w:rPr>
              <w:t>Styled data tables</w:t>
            </w:r>
          </w:p>
        </w:tc>
      </w:tr>
      <w:tr>
        <w:tc>
          <w:tcPr>
            <w:tcW w:type="dxa" w:w="2835"/>
          </w:tcPr>
          <w:p>
            <w:r/>
            <w:r>
              <w:rPr>
                <w:sz w:val="20"/>
              </w:rPr>
              <w:t>Sub Navigation</w:t>
            </w:r>
          </w:p>
        </w:tc>
        <w:tc>
          <w:tcPr>
            <w:tcW w:type="dxa" w:w="1701"/>
          </w:tcPr>
          <w:p>
            <w:r/>
            <w:r>
              <w:rPr>
                <w:sz w:val="20"/>
              </w:rPr>
              <w:t>Medium</w:t>
            </w:r>
          </w:p>
        </w:tc>
        <w:tc>
          <w:tcPr>
            <w:tcW w:type="dxa" w:w="5669"/>
          </w:tcPr>
          <w:p>
            <w:r/>
            <w:r>
              <w:rPr>
                <w:sz w:val="20"/>
              </w:rPr>
              <w:t>Section-level navigation</w:t>
            </w:r>
          </w:p>
        </w:tc>
      </w:tr>
      <w:tr>
        <w:tc>
          <w:tcPr>
            <w:tcW w:type="dxa" w:w="2835"/>
            <w:shd w:fill="D6DCE4"/>
          </w:tcPr>
          <w:p>
            <w:r/>
            <w:r>
              <w:rPr>
                <w:sz w:val="20"/>
              </w:rPr>
              <w:t>Testimonial</w:t>
            </w:r>
          </w:p>
        </w:tc>
        <w:tc>
          <w:tcPr>
            <w:tcW w:type="dxa" w:w="1701"/>
            <w:shd w:fill="D6DCE4"/>
          </w:tcPr>
          <w:p>
            <w:r/>
            <w:r>
              <w:rPr>
                <w:sz w:val="20"/>
              </w:rPr>
              <w:t>Medium</w:t>
            </w:r>
          </w:p>
        </w:tc>
        <w:tc>
          <w:tcPr>
            <w:tcW w:type="dxa" w:w="5669"/>
            <w:shd w:fill="D6DCE4"/>
          </w:tcPr>
          <w:p>
            <w:r/>
            <w:r>
              <w:rPr>
                <w:sz w:val="20"/>
              </w:rPr>
              <w:t>Customer quotes/testimonials</w:t>
            </w:r>
          </w:p>
        </w:tc>
      </w:tr>
      <w:tr>
        <w:tc>
          <w:tcPr>
            <w:tcW w:type="dxa" w:w="2835"/>
          </w:tcPr>
          <w:p>
            <w:r/>
            <w:r>
              <w:rPr>
                <w:sz w:val="20"/>
              </w:rPr>
              <w:t>Embed</w:t>
            </w:r>
          </w:p>
        </w:tc>
        <w:tc>
          <w:tcPr>
            <w:tcW w:type="dxa" w:w="1701"/>
          </w:tcPr>
          <w:p>
            <w:r/>
            <w:r>
              <w:rPr>
                <w:sz w:val="20"/>
              </w:rPr>
              <w:t>Low</w:t>
            </w:r>
          </w:p>
        </w:tc>
        <w:tc>
          <w:tcPr>
            <w:tcW w:type="dxa" w:w="5669"/>
          </w:tcPr>
          <w:p>
            <w:r/>
            <w:r>
              <w:rPr>
                <w:sz w:val="20"/>
              </w:rPr>
              <w:t>Third-party embeds</w:t>
            </w:r>
          </w:p>
        </w:tc>
      </w:tr>
      <w:tr>
        <w:tc>
          <w:tcPr>
            <w:tcW w:type="dxa" w:w="2835"/>
            <w:shd w:fill="D6DCE4"/>
          </w:tcPr>
          <w:p>
            <w:r/>
            <w:r>
              <w:rPr>
                <w:sz w:val="20"/>
              </w:rPr>
              <w:t>Immersive</w:t>
            </w:r>
          </w:p>
        </w:tc>
        <w:tc>
          <w:tcPr>
            <w:tcW w:type="dxa" w:w="1701"/>
            <w:shd w:fill="D6DCE4"/>
          </w:tcPr>
          <w:p>
            <w:r/>
            <w:r>
              <w:rPr>
                <w:sz w:val="20"/>
              </w:rPr>
              <w:t>High</w:t>
            </w:r>
          </w:p>
        </w:tc>
        <w:tc>
          <w:tcPr>
            <w:tcW w:type="dxa" w:w="5669"/>
            <w:shd w:fill="D6DCE4"/>
          </w:tcPr>
          <w:p>
            <w:r/>
            <w:r>
              <w:rPr>
                <w:sz w:val="20"/>
              </w:rPr>
              <w:t>Full-page interactive experiences</w:t>
            </w:r>
          </w:p>
        </w:tc>
      </w:tr>
      <w:tr>
        <w:tc>
          <w:tcPr>
            <w:tcW w:type="dxa" w:w="2835"/>
          </w:tcPr>
          <w:p>
            <w:r/>
            <w:r>
              <w:rPr>
                <w:sz w:val="20"/>
              </w:rPr>
              <w:t>PDP Document Display</w:t>
            </w:r>
          </w:p>
        </w:tc>
        <w:tc>
          <w:tcPr>
            <w:tcW w:type="dxa" w:w="1701"/>
          </w:tcPr>
          <w:p>
            <w:r/>
            <w:r>
              <w:rPr>
                <w:sz w:val="20"/>
              </w:rPr>
              <w:t>High</w:t>
            </w:r>
          </w:p>
        </w:tc>
        <w:tc>
          <w:tcPr>
            <w:tcW w:type="dxa" w:w="5669"/>
          </w:tcPr>
          <w:p>
            <w:r/>
            <w:r>
              <w:rPr>
                <w:sz w:val="20"/>
              </w:rPr>
              <w:t>Product specification documents</w:t>
            </w:r>
          </w:p>
        </w:tc>
      </w:tr>
      <w:tr>
        <w:tc>
          <w:tcPr>
            <w:tcW w:type="dxa" w:w="2835"/>
            <w:shd w:fill="D6DCE4"/>
          </w:tcPr>
          <w:p>
            <w:r/>
            <w:r>
              <w:rPr>
                <w:sz w:val="20"/>
              </w:rPr>
              <w:t>Carousel</w:t>
            </w:r>
          </w:p>
        </w:tc>
        <w:tc>
          <w:tcPr>
            <w:tcW w:type="dxa" w:w="1701"/>
            <w:shd w:fill="D6DCE4"/>
          </w:tcPr>
          <w:p>
            <w:r/>
            <w:r>
              <w:rPr>
                <w:sz w:val="20"/>
              </w:rPr>
              <w:t>Medium</w:t>
            </w:r>
          </w:p>
        </w:tc>
        <w:tc>
          <w:tcPr>
            <w:tcW w:type="dxa" w:w="5669"/>
            <w:shd w:fill="D6DCE4"/>
          </w:tcPr>
          <w:p>
            <w:r/>
            <w:r>
              <w:rPr>
                <w:sz w:val="20"/>
              </w:rPr>
              <w:t>Image/content carousels</w:t>
            </w:r>
          </w:p>
        </w:tc>
      </w:tr>
      <w:tr>
        <w:tc>
          <w:tcPr>
            <w:tcW w:type="dxa" w:w="2835"/>
          </w:tcPr>
          <w:p>
            <w:r/>
            <w:r>
              <w:rPr>
                <w:sz w:val="20"/>
              </w:rPr>
              <w:t>Product Selection Guide</w:t>
            </w:r>
          </w:p>
        </w:tc>
        <w:tc>
          <w:tcPr>
            <w:tcW w:type="dxa" w:w="1701"/>
          </w:tcPr>
          <w:p>
            <w:r/>
            <w:r>
              <w:rPr>
                <w:sz w:val="20"/>
              </w:rPr>
              <w:t>High</w:t>
            </w:r>
          </w:p>
        </w:tc>
        <w:tc>
          <w:tcPr>
            <w:tcW w:type="dxa" w:w="5669"/>
          </w:tcPr>
          <w:p>
            <w:r/>
            <w:r>
              <w:rPr>
                <w:sz w:val="20"/>
              </w:rPr>
              <w:t>Interactive product selection tool</w:t>
            </w:r>
          </w:p>
        </w:tc>
      </w:tr>
      <w:tr>
        <w:tc>
          <w:tcPr>
            <w:tcW w:type="dxa" w:w="2835"/>
            <w:shd w:fill="D6DCE4"/>
          </w:tcPr>
          <w:p>
            <w:r/>
            <w:r>
              <w:rPr>
                <w:sz w:val="20"/>
              </w:rPr>
              <w:t>Featured Collection</w:t>
            </w:r>
          </w:p>
        </w:tc>
        <w:tc>
          <w:tcPr>
            <w:tcW w:type="dxa" w:w="1701"/>
            <w:shd w:fill="D6DCE4"/>
          </w:tcPr>
          <w:p>
            <w:r/>
            <w:r>
              <w:rPr>
                <w:sz w:val="20"/>
              </w:rPr>
              <w:t>Medium</w:t>
            </w:r>
          </w:p>
        </w:tc>
        <w:tc>
          <w:tcPr>
            <w:tcW w:type="dxa" w:w="5669"/>
            <w:shd w:fill="D6DCE4"/>
          </w:tcPr>
          <w:p>
            <w:r/>
            <w:r>
              <w:rPr>
                <w:sz w:val="20"/>
              </w:rPr>
              <w:t>Curated product collections</w:t>
            </w:r>
          </w:p>
        </w:tc>
      </w:tr>
      <w:tr>
        <w:tc>
          <w:tcPr>
            <w:tcW w:type="dxa" w:w="2835"/>
          </w:tcPr>
          <w:p>
            <w:r/>
            <w:r>
              <w:rPr>
                <w:sz w:val="20"/>
              </w:rPr>
              <w:t>Media Formulation</w:t>
            </w:r>
          </w:p>
        </w:tc>
        <w:tc>
          <w:tcPr>
            <w:tcW w:type="dxa" w:w="1701"/>
          </w:tcPr>
          <w:p>
            <w:r/>
            <w:r>
              <w:rPr>
                <w:sz w:val="20"/>
              </w:rPr>
              <w:t>High</w:t>
            </w:r>
          </w:p>
        </w:tc>
        <w:tc>
          <w:tcPr>
            <w:tcW w:type="dxa" w:w="5669"/>
          </w:tcPr>
          <w:p>
            <w:r/>
            <w:r>
              <w:rPr>
                <w:sz w:val="20"/>
              </w:rPr>
              <w:t>Scientific media formulation tool</w:t>
            </w:r>
          </w:p>
        </w:tc>
      </w:tr>
      <w:tr>
        <w:tc>
          <w:tcPr>
            <w:tcW w:type="dxa" w:w="2835"/>
            <w:shd w:fill="D6DCE4"/>
          </w:tcPr>
          <w:p>
            <w:r/>
            <w:r>
              <w:rPr>
                <w:sz w:val="20"/>
              </w:rPr>
              <w:t>Product List</w:t>
            </w:r>
          </w:p>
        </w:tc>
        <w:tc>
          <w:tcPr>
            <w:tcW w:type="dxa" w:w="1701"/>
            <w:shd w:fill="D6DCE4"/>
          </w:tcPr>
          <w:p>
            <w:r/>
            <w:r>
              <w:rPr>
                <w:sz w:val="20"/>
              </w:rPr>
              <w:t>High</w:t>
            </w:r>
          </w:p>
        </w:tc>
        <w:tc>
          <w:tcPr>
            <w:tcW w:type="dxa" w:w="5669"/>
            <w:shd w:fill="D6DCE4"/>
          </w:tcPr>
          <w:p>
            <w:r/>
            <w:r>
              <w:rPr>
                <w:sz w:val="20"/>
              </w:rPr>
              <w:t>Dynamic product listing</w:t>
            </w:r>
          </w:p>
        </w:tc>
      </w:tr>
      <w:tr>
        <w:tc>
          <w:tcPr>
            <w:tcW w:type="dxa" w:w="2835"/>
          </w:tcPr>
          <w:p>
            <w:r/>
            <w:r>
              <w:rPr>
                <w:sz w:val="20"/>
              </w:rPr>
              <w:t>Video / Video Playlist</w:t>
            </w:r>
          </w:p>
        </w:tc>
        <w:tc>
          <w:tcPr>
            <w:tcW w:type="dxa" w:w="1701"/>
          </w:tcPr>
          <w:p>
            <w:r/>
            <w:r>
              <w:rPr>
                <w:sz w:val="20"/>
              </w:rPr>
              <w:t>Medium</w:t>
            </w:r>
          </w:p>
        </w:tc>
        <w:tc>
          <w:tcPr>
            <w:tcW w:type="dxa" w:w="5669"/>
          </w:tcPr>
          <w:p>
            <w:r/>
            <w:r>
              <w:rPr>
                <w:sz w:val="20"/>
              </w:rPr>
              <w:t>Brightcove video integration</w:t>
            </w:r>
          </w:p>
        </w:tc>
      </w:tr>
      <w:tr>
        <w:tc>
          <w:tcPr>
            <w:tcW w:type="dxa" w:w="2835"/>
            <w:shd w:fill="D6DCE4"/>
          </w:tcPr>
          <w:p>
            <w:r/>
            <w:r>
              <w:rPr>
                <w:sz w:val="20"/>
              </w:rPr>
              <w:t>Dynamic Merchandising Offer</w:t>
            </w:r>
          </w:p>
        </w:tc>
        <w:tc>
          <w:tcPr>
            <w:tcW w:type="dxa" w:w="1701"/>
            <w:shd w:fill="D6DCE4"/>
          </w:tcPr>
          <w:p>
            <w:r/>
            <w:r>
              <w:rPr>
                <w:sz w:val="20"/>
              </w:rPr>
              <w:t>High</w:t>
            </w:r>
          </w:p>
        </w:tc>
        <w:tc>
          <w:tcPr>
            <w:tcW w:type="dxa" w:w="5669"/>
            <w:shd w:fill="D6DCE4"/>
          </w:tcPr>
          <w:p>
            <w:r/>
            <w:r>
              <w:rPr>
                <w:sz w:val="20"/>
              </w:rPr>
              <w:t>Personalized promotional content</w:t>
            </w:r>
          </w:p>
        </w:tc>
      </w:tr>
      <w:tr>
        <w:tc>
          <w:tcPr>
            <w:tcW w:type="dxa" w:w="2835"/>
          </w:tcPr>
          <w:p>
            <w:r/>
            <w:r>
              <w:rPr>
                <w:sz w:val="20"/>
              </w:rPr>
              <w:t>Header &amp; Footer</w:t>
            </w:r>
          </w:p>
        </w:tc>
        <w:tc>
          <w:tcPr>
            <w:tcW w:type="dxa" w:w="1701"/>
          </w:tcPr>
          <w:p>
            <w:r/>
            <w:r>
              <w:rPr>
                <w:sz w:val="20"/>
              </w:rPr>
              <w:t>Medium</w:t>
            </w:r>
          </w:p>
        </w:tc>
        <w:tc>
          <w:tcPr>
            <w:tcW w:type="dxa" w:w="5669"/>
          </w:tcPr>
          <w:p>
            <w:r/>
            <w:r>
              <w:rPr>
                <w:sz w:val="20"/>
              </w:rPr>
              <w:t>Global navigation shell</w:t>
            </w:r>
          </w:p>
        </w:tc>
      </w:tr>
    </w:tbl>
    <w:p>
      <w:pPr>
        <w:pStyle w:val="Heading1"/>
      </w:pPr>
      <w:r>
        <w:t>3. Out of Scope</w:t>
      </w:r>
    </w:p>
    <w:p>
      <w:pPr>
        <w:pStyle w:val="ListBullet"/>
      </w:pPr>
      <w:r>
        <w:t>Any changes required in downstream systems consuming data from AEM are out of scope for Adobe.</w:t>
      </w:r>
    </w:p>
    <w:p>
      <w:pPr>
        <w:pStyle w:val="ListBullet"/>
      </w:pPr>
      <w:r>
        <w:t>Any changes required in external APIs providing data to or consuming data from EDS are out of scope for Adobe.</w:t>
      </w:r>
    </w:p>
    <w:p>
      <w:pPr>
        <w:pStyle w:val="Heading1"/>
      </w:pPr>
      <w:r>
        <w:t>4. Open Decisions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67"/>
            <w:shd w:fill="2F5496"/>
          </w:tcPr>
          <w:p>
            <w:r/>
            <w:r>
              <w:rPr>
                <w:b/>
                <w:color w:val="FFFFFF"/>
                <w:sz w:val="20"/>
              </w:rPr>
              <w:t>#</w:t>
            </w:r>
          </w:p>
        </w:tc>
        <w:tc>
          <w:tcPr>
            <w:tcW w:type="dxa" w:w="2835"/>
            <w:shd w:fill="2F5496"/>
          </w:tcPr>
          <w:p>
            <w:r/>
            <w:r>
              <w:rPr>
                <w:b/>
                <w:color w:val="FFFFFF"/>
                <w:sz w:val="20"/>
              </w:rPr>
              <w:t>Decision</w:t>
            </w:r>
          </w:p>
        </w:tc>
        <w:tc>
          <w:tcPr>
            <w:tcW w:type="dxa" w:w="3969"/>
            <w:shd w:fill="2F5496"/>
          </w:tcPr>
          <w:p>
            <w:r/>
            <w:r>
              <w:rPr>
                <w:b/>
                <w:color w:val="FFFFFF"/>
                <w:sz w:val="20"/>
              </w:rPr>
              <w:t>Options</w:t>
            </w:r>
          </w:p>
        </w:tc>
        <w:tc>
          <w:tcPr>
            <w:tcW w:type="dxa" w:w="2835"/>
            <w:shd w:fill="2F5496"/>
          </w:tcPr>
          <w:p>
            <w:r/>
            <w:r>
              <w:rPr>
                <w:b/>
                <w:color w:val="FFFFFF"/>
                <w:sz w:val="20"/>
              </w:rPr>
              <w:t>Owner</w:t>
            </w:r>
          </w:p>
        </w:tc>
      </w:tr>
      <w:tr>
        <w:tc>
          <w:tcPr>
            <w:tcW w:type="dxa" w:w="567"/>
          </w:tcPr>
          <w:p>
            <w:r/>
            <w:r>
              <w:rPr>
                <w:sz w:val="20"/>
              </w:rPr>
              <w:t>1</w:t>
            </w:r>
          </w:p>
        </w:tc>
        <w:tc>
          <w:tcPr>
            <w:tcW w:type="dxa" w:w="2835"/>
          </w:tcPr>
          <w:p>
            <w:r/>
            <w:r>
              <w:rPr>
                <w:sz w:val="20"/>
              </w:rPr>
              <w:t>Configuration mapping in DA</w:t>
            </w:r>
          </w:p>
        </w:tc>
        <w:tc>
          <w:tcPr>
            <w:tcW w:type="dxa" w:w="3969"/>
          </w:tcPr>
          <w:p>
            <w:r/>
            <w:r>
              <w:rPr>
                <w:sz w:val="20"/>
              </w:rPr>
              <w:t>Spreadsheet-based / JSON config / Metadata block</w:t>
            </w:r>
          </w:p>
        </w:tc>
        <w:tc>
          <w:tcPr>
            <w:tcW w:type="dxa" w:w="2835"/>
          </w:tcPr>
          <w:p>
            <w:r/>
            <w:r>
              <w:rPr>
                <w:sz w:val="20"/>
              </w:rPr>
              <w:t>Architecture</w:t>
            </w:r>
          </w:p>
        </w:tc>
      </w:tr>
      <w:tr>
        <w:tc>
          <w:tcPr>
            <w:tcW w:type="dxa" w:w="567"/>
            <w:shd w:fill="D6DCE4"/>
          </w:tcPr>
          <w:p>
            <w:r/>
            <w:r>
              <w:rPr>
                <w:sz w:val="20"/>
              </w:rPr>
              <w:t>2</w:t>
            </w:r>
          </w:p>
        </w:tc>
        <w:tc>
          <w:tcPr>
            <w:tcW w:type="dxa" w:w="2835"/>
            <w:shd w:fill="D6DCE4"/>
          </w:tcPr>
          <w:p>
            <w:r/>
            <w:r>
              <w:rPr>
                <w:sz w:val="20"/>
              </w:rPr>
              <w:t>Governance &amp; Preflight checks</w:t>
            </w:r>
          </w:p>
        </w:tc>
        <w:tc>
          <w:tcPr>
            <w:tcW w:type="dxa" w:w="3969"/>
            <w:shd w:fill="D6DCE4"/>
          </w:tcPr>
          <w:p>
            <w:r/>
            <w:r>
              <w:rPr>
                <w:sz w:val="20"/>
              </w:rPr>
              <w:t>Cloud Manager audit / Custom preflight + Lighthouse / Automated PR checks</w:t>
            </w:r>
          </w:p>
        </w:tc>
        <w:tc>
          <w:tcPr>
            <w:tcW w:type="dxa" w:w="2835"/>
            <w:shd w:fill="D6DCE4"/>
          </w:tcPr>
          <w:p>
            <w:r/>
            <w:r>
              <w:rPr>
                <w:sz w:val="20"/>
              </w:rPr>
              <w:t>DevOps / QA</w:t>
            </w:r>
          </w:p>
        </w:tc>
      </w:tr>
      <w:tr>
        <w:tc>
          <w:tcPr>
            <w:tcW w:type="dxa" w:w="567"/>
          </w:tcPr>
          <w:p>
            <w:r/>
            <w:r>
              <w:rPr>
                <w:sz w:val="20"/>
              </w:rPr>
              <w:t>3</w:t>
            </w:r>
          </w:p>
        </w:tc>
        <w:tc>
          <w:tcPr>
            <w:tcW w:type="dxa" w:w="2835"/>
          </w:tcPr>
          <w:p>
            <w:r/>
            <w:r>
              <w:rPr>
                <w:sz w:val="20"/>
              </w:rPr>
              <w:t>Analytics &amp; Target integration</w:t>
            </w:r>
          </w:p>
        </w:tc>
        <w:tc>
          <w:tcPr>
            <w:tcW w:type="dxa" w:w="3969"/>
          </w:tcPr>
          <w:p>
            <w:r/>
            <w:r>
              <w:rPr>
                <w:sz w:val="20"/>
              </w:rPr>
              <w:t>EDS data layer + Launch / alloy.js / Custom delayed.js</w:t>
            </w:r>
          </w:p>
        </w:tc>
        <w:tc>
          <w:tcPr>
            <w:tcW w:type="dxa" w:w="2835"/>
          </w:tcPr>
          <w:p>
            <w:r/>
            <w:r>
              <w:rPr>
                <w:sz w:val="20"/>
              </w:rPr>
              <w:t>Analytics Team</w:t>
            </w:r>
          </w:p>
        </w:tc>
      </w:tr>
      <w:tr>
        <w:tc>
          <w:tcPr>
            <w:tcW w:type="dxa" w:w="567"/>
            <w:shd w:fill="D6DCE4"/>
          </w:tcPr>
          <w:p>
            <w:r/>
            <w:r>
              <w:rPr>
                <w:sz w:val="20"/>
              </w:rPr>
              <w:t>4</w:t>
            </w:r>
          </w:p>
        </w:tc>
        <w:tc>
          <w:tcPr>
            <w:tcW w:type="dxa" w:w="2835"/>
            <w:shd w:fill="D6DCE4"/>
          </w:tcPr>
          <w:p>
            <w:r/>
            <w:r>
              <w:rPr>
                <w:sz w:val="20"/>
              </w:rPr>
              <w:t>Templates &amp; Page Properties</w:t>
            </w:r>
          </w:p>
        </w:tc>
        <w:tc>
          <w:tcPr>
            <w:tcW w:type="dxa" w:w="3969"/>
            <w:shd w:fill="D6DCE4"/>
          </w:tcPr>
          <w:p>
            <w:r/>
            <w:r>
              <w:rPr>
                <w:sz w:val="20"/>
              </w:rPr>
              <w:t>Metadata block only / Spreadsheet-driven / Implementation-enforced</w:t>
            </w:r>
          </w:p>
        </w:tc>
        <w:tc>
          <w:tcPr>
            <w:tcW w:type="dxa" w:w="2835"/>
            <w:shd w:fill="D6DCE4"/>
          </w:tcPr>
          <w:p>
            <w:r/>
            <w:r>
              <w:rPr>
                <w:sz w:val="20"/>
              </w:rPr>
              <w:t>Content Architecture</w:t>
            </w:r>
          </w:p>
        </w:tc>
      </w:tr>
      <w:tr>
        <w:tc>
          <w:tcPr>
            <w:tcW w:type="dxa" w:w="567"/>
          </w:tcPr>
          <w:p>
            <w:r/>
            <w:r>
              <w:rPr>
                <w:sz w:val="20"/>
              </w:rPr>
              <w:t>5</w:t>
            </w:r>
          </w:p>
        </w:tc>
        <w:tc>
          <w:tcPr>
            <w:tcW w:type="dxa" w:w="2835"/>
          </w:tcPr>
          <w:p>
            <w:r/>
            <w:r>
              <w:rPr>
                <w:sz w:val="20"/>
              </w:rPr>
              <w:t>Asset management model</w:t>
            </w:r>
          </w:p>
        </w:tc>
        <w:tc>
          <w:tcPr>
            <w:tcW w:type="dxa" w:w="3969"/>
          </w:tcPr>
          <w:p>
            <w:r/>
            <w:r>
              <w:rPr>
                <w:sz w:val="20"/>
              </w:rPr>
              <w:t>DA-managed only / AEM Assets DAM + DA / Hybrid CDN</w:t>
            </w:r>
          </w:p>
        </w:tc>
        <w:tc>
          <w:tcPr>
            <w:tcW w:type="dxa" w:w="2835"/>
          </w:tcPr>
          <w:p>
            <w:r/>
            <w:r>
              <w:rPr>
                <w:sz w:val="20"/>
              </w:rPr>
              <w:t>Digital Asset Team</w:t>
            </w:r>
          </w:p>
        </w:tc>
      </w:tr>
      <w:tr>
        <w:tc>
          <w:tcPr>
            <w:tcW w:type="dxa" w:w="567"/>
            <w:shd w:fill="D6DCE4"/>
          </w:tcPr>
          <w:p>
            <w:r/>
            <w:r>
              <w:rPr>
                <w:sz w:val="20"/>
              </w:rPr>
              <w:t>6</w:t>
            </w:r>
          </w:p>
        </w:tc>
        <w:tc>
          <w:tcPr>
            <w:tcW w:type="dxa" w:w="2835"/>
            <w:shd w:fill="D6DCE4"/>
          </w:tcPr>
          <w:p>
            <w:r/>
            <w:r>
              <w:rPr>
                <w:sz w:val="20"/>
              </w:rPr>
              <w:t>Multi-site / Translation approach</w:t>
            </w:r>
          </w:p>
        </w:tc>
        <w:tc>
          <w:tcPr>
            <w:tcW w:type="dxa" w:w="3969"/>
            <w:shd w:fill="D6DCE4"/>
          </w:tcPr>
          <w:p>
            <w:r/>
            <w:r>
              <w:rPr>
                <w:sz w:val="20"/>
              </w:rPr>
              <w:t>Separate DA folders / MSM-equiv via code / External TMS</w:t>
            </w:r>
          </w:p>
        </w:tc>
        <w:tc>
          <w:tcPr>
            <w:tcW w:type="dxa" w:w="2835"/>
            <w:shd w:fill="D6DCE4"/>
          </w:tcPr>
          <w:p>
            <w:r/>
            <w:r>
              <w:rPr>
                <w:sz w:val="20"/>
              </w:rPr>
              <w:t>Globalization</w:t>
            </w:r>
          </w:p>
        </w:tc>
      </w:tr>
      <w:tr>
        <w:tc>
          <w:tcPr>
            <w:tcW w:type="dxa" w:w="567"/>
          </w:tcPr>
          <w:p>
            <w:r/>
            <w:r>
              <w:rPr>
                <w:sz w:val="20"/>
              </w:rPr>
              <w:t>7</w:t>
            </w:r>
          </w:p>
        </w:tc>
        <w:tc>
          <w:tcPr>
            <w:tcW w:type="dxa" w:w="2835"/>
          </w:tcPr>
          <w:p>
            <w:r/>
            <w:r>
              <w:rPr>
                <w:sz w:val="20"/>
              </w:rPr>
              <w:t>Form submission backend</w:t>
            </w:r>
          </w:p>
        </w:tc>
        <w:tc>
          <w:tcPr>
            <w:tcW w:type="dxa" w:w="3969"/>
          </w:tcPr>
          <w:p>
            <w:r/>
            <w:r>
              <w:rPr>
                <w:sz w:val="20"/>
              </w:rPr>
              <w:t>Adobe-managed / Custom API middleware / Direct third-party</w:t>
            </w:r>
          </w:p>
        </w:tc>
        <w:tc>
          <w:tcPr>
            <w:tcW w:type="dxa" w:w="2835"/>
          </w:tcPr>
          <w:p>
            <w:r/>
            <w:r>
              <w:rPr>
                <w:sz w:val="20"/>
              </w:rPr>
              <w:t>Integration Team</w:t>
            </w:r>
          </w:p>
        </w:tc>
      </w:tr>
      <w:tr>
        <w:tc>
          <w:tcPr>
            <w:tcW w:type="dxa" w:w="567"/>
            <w:shd w:fill="D6DCE4"/>
          </w:tcPr>
          <w:p>
            <w:r/>
            <w:r>
              <w:rPr>
                <w:sz w:val="20"/>
              </w:rPr>
              <w:t>8</w:t>
            </w:r>
          </w:p>
        </w:tc>
        <w:tc>
          <w:tcPr>
            <w:tcW w:type="dxa" w:w="2835"/>
            <w:shd w:fill="D6DCE4"/>
          </w:tcPr>
          <w:p>
            <w:r/>
            <w:r>
              <w:rPr>
                <w:sz w:val="20"/>
              </w:rPr>
              <w:t>Cutover &amp; rollback strategy</w:t>
            </w:r>
          </w:p>
        </w:tc>
        <w:tc>
          <w:tcPr>
            <w:tcW w:type="dxa" w:w="3969"/>
            <w:shd w:fill="D6DCE4"/>
          </w:tcPr>
          <w:p>
            <w:r/>
            <w:r>
              <w:rPr>
                <w:sz w:val="20"/>
              </w:rPr>
              <w:t>Big-bang / Phased parallel / Traffic-based progressive</w:t>
            </w:r>
          </w:p>
        </w:tc>
        <w:tc>
          <w:tcPr>
            <w:tcW w:type="dxa" w:w="2835"/>
            <w:shd w:fill="D6DCE4"/>
          </w:tcPr>
          <w:p>
            <w:r/>
            <w:r>
              <w:rPr>
                <w:sz w:val="20"/>
              </w:rPr>
              <w:t>Program Management</w:t>
            </w:r>
          </w:p>
        </w:tc>
      </w:tr>
      <w:tr>
        <w:tc>
          <w:tcPr>
            <w:tcW w:type="dxa" w:w="567"/>
          </w:tcPr>
          <w:p>
            <w:r/>
            <w:r>
              <w:rPr>
                <w:sz w:val="20"/>
              </w:rPr>
              <w:t>9</w:t>
            </w:r>
          </w:p>
        </w:tc>
        <w:tc>
          <w:tcPr>
            <w:tcW w:type="dxa" w:w="2835"/>
          </w:tcPr>
          <w:p>
            <w:r/>
            <w:r>
              <w:rPr>
                <w:sz w:val="20"/>
              </w:rPr>
              <w:t>CI quality gates &amp; test strategy</w:t>
            </w:r>
          </w:p>
        </w:tc>
        <w:tc>
          <w:tcPr>
            <w:tcW w:type="dxa" w:w="3969"/>
          </w:tcPr>
          <w:p>
            <w:r/>
            <w:r>
              <w:rPr>
                <w:sz w:val="20"/>
              </w:rPr>
              <w:t>Lighthouse+lint / Full E2E+visual / Lighthouse+unit+a11y</w:t>
            </w:r>
          </w:p>
        </w:tc>
        <w:tc>
          <w:tcPr>
            <w:tcW w:type="dxa" w:w="2835"/>
          </w:tcPr>
          <w:p>
            <w:r/>
            <w:r>
              <w:rPr>
                <w:sz w:val="20"/>
              </w:rPr>
              <w:t>QA / DevOps</w:t>
            </w:r>
          </w:p>
        </w:tc>
      </w:tr>
    </w:tbl>
    <w:p>
      <w:pPr>
        <w:pStyle w:val="Heading1"/>
      </w:pPr>
      <w:r>
        <w:t>5. Assumptions</w:t>
      </w:r>
    </w:p>
    <w:tbl>
      <w:tblPr>
        <w:tblStyle w:val="TableGrid"/>
        <w:tblW w:type="auto" w:w="0"/>
        <w:jc w:val="left"/>
        <w:tblLook w:firstColumn="1" w:firstRow="1" w:lastColumn="0" w:lastRow="0" w:noHBand="0" w:noVBand="1" w:val="04A0"/>
      </w:tblPr>
      <w:tblGrid>
        <w:gridCol w:w="4320"/>
        <w:gridCol w:w="4320"/>
      </w:tblGrid>
      <w:tr>
        <w:tc>
          <w:tcPr>
            <w:tcW w:type="dxa" w:w="850"/>
            <w:shd w:fill="2F5496"/>
          </w:tcPr>
          <w:p>
            <w:r/>
            <w:r>
              <w:rPr>
                <w:b/>
                <w:color w:val="FFFFFF"/>
                <w:sz w:val="20"/>
              </w:rPr>
              <w:t>#</w:t>
            </w:r>
          </w:p>
        </w:tc>
        <w:tc>
          <w:tcPr>
            <w:tcW w:type="dxa" w:w="9354"/>
            <w:shd w:fill="2F5496"/>
          </w:tcPr>
          <w:p>
            <w:r/>
            <w:r>
              <w:rPr>
                <w:b/>
                <w:color w:val="FFFFFF"/>
                <w:sz w:val="20"/>
              </w:rPr>
              <w:t>Assumption</w:t>
            </w:r>
          </w:p>
        </w:tc>
      </w:tr>
      <w:tr>
        <w:tc>
          <w:tcPr>
            <w:tcW w:type="dxa" w:w="850"/>
          </w:tcPr>
          <w:p>
            <w:r/>
            <w:r>
              <w:rPr>
                <w:sz w:val="20"/>
              </w:rPr>
              <w:t>A1</w:t>
            </w:r>
          </w:p>
        </w:tc>
        <w:tc>
          <w:tcPr>
            <w:tcW w:type="dxa" w:w="9354"/>
          </w:tcPr>
          <w:p>
            <w:r/>
            <w:r>
              <w:rPr>
                <w:sz w:val="20"/>
              </w:rPr>
              <w:t>Since this represents a fundamental shift in authoring experience, all customizations built on the current AEM Author environment (Touch UI extensions, custom dialogs, workflow steps) will not carry forward to EDS and must be re-evaluated against DA capabilities.</w:t>
            </w:r>
          </w:p>
        </w:tc>
      </w:tr>
      <w:tr>
        <w:tc>
          <w:tcPr>
            <w:tcW w:type="dxa" w:w="850"/>
            <w:shd w:fill="D6DCE4"/>
          </w:tcPr>
          <w:p>
            <w:r/>
            <w:r>
              <w:rPr>
                <w:sz w:val="20"/>
              </w:rPr>
              <w:t>A2</w:t>
            </w:r>
          </w:p>
        </w:tc>
        <w:tc>
          <w:tcPr>
            <w:tcW w:type="dxa" w:w="9354"/>
            <w:shd w:fill="D6DCE4"/>
          </w:tcPr>
          <w:p>
            <w:r/>
            <w:r>
              <w:rPr>
                <w:sz w:val="20"/>
              </w:rPr>
              <w:t>For content migration to proceed, all pages must have a publicly accessible URL. Pages that are currently unpublished must be activated on a reachable URL prior to migration.</w:t>
            </w:r>
          </w:p>
        </w:tc>
      </w:tr>
      <w:tr>
        <w:tc>
          <w:tcPr>
            <w:tcW w:type="dxa" w:w="850"/>
          </w:tcPr>
          <w:p>
            <w:r/>
            <w:r>
              <w:rPr>
                <w:sz w:val="20"/>
              </w:rPr>
              <w:t>A3</w:t>
            </w:r>
          </w:p>
        </w:tc>
        <w:tc>
          <w:tcPr>
            <w:tcW w:type="dxa" w:w="9354"/>
          </w:tcPr>
          <w:p>
            <w:r/>
            <w:r>
              <w:rPr>
                <w:sz w:val="20"/>
              </w:rPr>
              <w:t>US/en will serve as the baseline site for MSM regional content copies. Regional pages with overridden (broken-inheritance) content must be identified and cataloged prior to migration to determine which require independent treatment.</w:t>
            </w:r>
          </w:p>
        </w:tc>
      </w:tr>
      <w:tr>
        <w:tc>
          <w:tcPr>
            <w:tcW w:type="dxa" w:w="850"/>
            <w:shd w:fill="D6DCE4"/>
          </w:tcPr>
          <w:p>
            <w:r/>
            <w:r>
              <w:rPr>
                <w:sz w:val="20"/>
              </w:rPr>
              <w:t>A4</w:t>
            </w:r>
          </w:p>
        </w:tc>
        <w:tc>
          <w:tcPr>
            <w:tcW w:type="dxa" w:w="9354"/>
            <w:shd w:fill="D6DCE4"/>
          </w:tcPr>
          <w:p>
            <w:r/>
            <w:r>
              <w:rPr>
                <w:sz w:val="20"/>
              </w:rPr>
              <w:t>Before the implementation phase begins, Thermo Fisher must finalize the decision on which Edge Worker (CDN edge compute) pattern will be used for the project.</w:t>
            </w:r>
          </w:p>
        </w:tc>
      </w:tr>
    </w:tbl>
    <w:p>
      <w:pPr>
        <w:pStyle w:val="Heading1"/>
      </w:pPr>
      <w:r>
        <w:t>6. Risks &amp; Dependencies</w:t>
      </w:r>
    </w:p>
    <w:tbl>
      <w:tblPr>
        <w:tblStyle w:val="TableGrid"/>
        <w:tblW w:type="auto" w:w="0"/>
        <w:jc w:val="left"/>
        <w:tblLook w:firstColumn="1" w:firstRow="1" w:lastColumn="0" w:lastRow="0" w:noHBand="0" w:noVBand="1" w:val="04A0"/>
      </w:tblPr>
      <w:tblGrid>
        <w:gridCol w:w="2880"/>
        <w:gridCol w:w="2880"/>
        <w:gridCol w:w="2880"/>
      </w:tblGrid>
      <w:tr>
        <w:tc>
          <w:tcPr>
            <w:tcW w:type="dxa" w:w="567"/>
            <w:shd w:fill="2F5496"/>
          </w:tcPr>
          <w:p>
            <w:r/>
            <w:r>
              <w:rPr>
                <w:b/>
                <w:color w:val="FFFFFF"/>
                <w:sz w:val="20"/>
              </w:rPr>
              <w:t>#</w:t>
            </w:r>
          </w:p>
        </w:tc>
        <w:tc>
          <w:tcPr>
            <w:tcW w:type="dxa" w:w="4535"/>
            <w:shd w:fill="2F5496"/>
          </w:tcPr>
          <w:p>
            <w:r/>
            <w:r>
              <w:rPr>
                <w:b/>
                <w:color w:val="FFFFFF"/>
                <w:sz w:val="20"/>
              </w:rPr>
              <w:t>Risk / Dependency</w:t>
            </w:r>
          </w:p>
        </w:tc>
        <w:tc>
          <w:tcPr>
            <w:tcW w:type="dxa" w:w="5102"/>
            <w:shd w:fill="2F5496"/>
          </w:tcPr>
          <w:p>
            <w:r/>
            <w:r>
              <w:rPr>
                <w:b/>
                <w:color w:val="FFFFFF"/>
                <w:sz w:val="20"/>
              </w:rPr>
              <w:t>Mitigation</w:t>
            </w:r>
          </w:p>
        </w:tc>
      </w:tr>
      <w:tr>
        <w:tc>
          <w:tcPr>
            <w:tcW w:type="dxa" w:w="567"/>
          </w:tcPr>
          <w:p>
            <w:r/>
            <w:r>
              <w:rPr>
                <w:sz w:val="20"/>
              </w:rPr>
              <w:t>R1</w:t>
            </w:r>
          </w:p>
        </w:tc>
        <w:tc>
          <w:tcPr>
            <w:tcW w:type="dxa" w:w="4535"/>
          </w:tcPr>
          <w:p>
            <w:r/>
            <w:r>
              <w:rPr>
                <w:sz w:val="20"/>
              </w:rPr>
              <w:t>Complex AEM 6.4 components may not map cleanly to EDS blocks</w:t>
            </w:r>
          </w:p>
        </w:tc>
        <w:tc>
          <w:tcPr>
            <w:tcW w:type="dxa" w:w="5102"/>
          </w:tcPr>
          <w:p>
            <w:r/>
            <w:r>
              <w:rPr>
                <w:sz w:val="20"/>
              </w:rPr>
              <w:t>Fragment reference pattern and custom block implementations</w:t>
            </w:r>
          </w:p>
        </w:tc>
      </w:tr>
      <w:tr>
        <w:tc>
          <w:tcPr>
            <w:tcW w:type="dxa" w:w="567"/>
            <w:shd w:fill="D6DCE4"/>
          </w:tcPr>
          <w:p>
            <w:r/>
            <w:r>
              <w:rPr>
                <w:sz w:val="20"/>
              </w:rPr>
              <w:t>R2</w:t>
            </w:r>
          </w:p>
        </w:tc>
        <w:tc>
          <w:tcPr>
            <w:tcW w:type="dxa" w:w="4535"/>
            <w:shd w:fill="D6DCE4"/>
          </w:tcPr>
          <w:p>
            <w:r/>
            <w:r>
              <w:rPr>
                <w:sz w:val="20"/>
              </w:rPr>
              <w:t>Author adoption — DA is a significant shift from Touch UI</w:t>
            </w:r>
          </w:p>
        </w:tc>
        <w:tc>
          <w:tcPr>
            <w:tcW w:type="dxa" w:w="5102"/>
            <w:shd w:fill="D6DCE4"/>
          </w:tcPr>
          <w:p>
            <w:r/>
            <w:r>
              <w:rPr>
                <w:sz w:val="20"/>
              </w:rPr>
              <w:t>Training, sample pages, authoring guides per block</w:t>
            </w:r>
          </w:p>
        </w:tc>
      </w:tr>
      <w:tr>
        <w:tc>
          <w:tcPr>
            <w:tcW w:type="dxa" w:w="567"/>
          </w:tcPr>
          <w:p>
            <w:r/>
            <w:r>
              <w:rPr>
                <w:sz w:val="20"/>
              </w:rPr>
              <w:t>R3</w:t>
            </w:r>
          </w:p>
        </w:tc>
        <w:tc>
          <w:tcPr>
            <w:tcW w:type="dxa" w:w="4535"/>
          </w:tcPr>
          <w:p>
            <w:r/>
            <w:r>
              <w:rPr>
                <w:sz w:val="20"/>
              </w:rPr>
              <w:t>Third-party script performance impact</w:t>
            </w:r>
          </w:p>
        </w:tc>
        <w:tc>
          <w:tcPr>
            <w:tcW w:type="dxa" w:w="5102"/>
          </w:tcPr>
          <w:p>
            <w:r/>
            <w:r>
              <w:rPr>
                <w:sz w:val="20"/>
              </w:rPr>
              <w:t>Strict delayed loading policy; martech in delayed.js only</w:t>
            </w:r>
          </w:p>
        </w:tc>
      </w:tr>
      <w:tr>
        <w:tc>
          <w:tcPr>
            <w:tcW w:type="dxa" w:w="567"/>
            <w:shd w:fill="D6DCE4"/>
          </w:tcPr>
          <w:p>
            <w:r/>
            <w:r>
              <w:rPr>
                <w:sz w:val="20"/>
              </w:rPr>
              <w:t>R4</w:t>
            </w:r>
          </w:p>
        </w:tc>
        <w:tc>
          <w:tcPr>
            <w:tcW w:type="dxa" w:w="4535"/>
            <w:shd w:fill="D6DCE4"/>
          </w:tcPr>
          <w:p>
            <w:r/>
            <w:r>
              <w:rPr>
                <w:sz w:val="20"/>
              </w:rPr>
              <w:t>Product data API availability for PDPs</w:t>
            </w:r>
          </w:p>
        </w:tc>
        <w:tc>
          <w:tcPr>
            <w:tcW w:type="dxa" w:w="5102"/>
            <w:shd w:fill="D6DCE4"/>
          </w:tcPr>
          <w:p>
            <w:r/>
            <w:r>
              <w:rPr>
                <w:sz w:val="20"/>
              </w:rPr>
              <w:t>Early engagement with PDP team; stub data for dev</w:t>
            </w:r>
          </w:p>
        </w:tc>
      </w:tr>
      <w:tr>
        <w:tc>
          <w:tcPr>
            <w:tcW w:type="dxa" w:w="567"/>
          </w:tcPr>
          <w:p>
            <w:r/>
            <w:r>
              <w:rPr>
                <w:sz w:val="20"/>
              </w:rPr>
              <w:t>R5</w:t>
            </w:r>
          </w:p>
        </w:tc>
        <w:tc>
          <w:tcPr>
            <w:tcW w:type="dxa" w:w="4535"/>
          </w:tcPr>
          <w:p>
            <w:r/>
            <w:r>
              <w:rPr>
                <w:sz w:val="20"/>
              </w:rPr>
              <w:t>Migration volume — significant page count</w:t>
            </w:r>
          </w:p>
        </w:tc>
        <w:tc>
          <w:tcPr>
            <w:tcW w:type="dxa" w:w="5102"/>
          </w:tcPr>
          <w:p>
            <w:r/>
            <w:r>
              <w:rPr>
                <w:sz w:val="20"/>
              </w:rPr>
              <w:t>Phased approach with priority-based migration waves</w:t>
            </w:r>
          </w:p>
        </w:tc>
      </w:tr>
      <w:tr>
        <w:tc>
          <w:tcPr>
            <w:tcW w:type="dxa" w:w="567"/>
            <w:shd w:fill="D6DCE4"/>
          </w:tcPr>
          <w:p>
            <w:r/>
            <w:r>
              <w:rPr>
                <w:sz w:val="20"/>
              </w:rPr>
              <w:t>R6</w:t>
            </w:r>
          </w:p>
        </w:tc>
        <w:tc>
          <w:tcPr>
            <w:tcW w:type="dxa" w:w="4535"/>
            <w:shd w:fill="D6DCE4"/>
          </w:tcPr>
          <w:p>
            <w:r/>
            <w:r>
              <w:rPr>
                <w:sz w:val="20"/>
              </w:rPr>
              <w:t>Open decisions blocking development</w:t>
            </w:r>
          </w:p>
        </w:tc>
        <w:tc>
          <w:tcPr>
            <w:tcW w:type="dxa" w:w="5102"/>
            <w:shd w:fill="D6DCE4"/>
          </w:tcPr>
          <w:p>
            <w:r/>
            <w:r>
              <w:rPr>
                <w:sz w:val="20"/>
              </w:rPr>
              <w:t>Timebox decisions; proceed with defaults and adjust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