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C3E50"/>
          <w:sz w:val="40"/>
        </w:rPr>
        <w:t>EDS Authoring Story — New Arrivals Carousel</w:t>
      </w:r>
    </w:p>
    <w:p>
      <w:pPr>
        <w:pStyle w:val="Heading1"/>
      </w:pPr>
      <w:r>
        <w:t>EDS Authoring Story — New Arrivals Carousel (Content Model &amp; Authoring)</w:t>
      </w:r>
    </w:p>
    <w:p>
      <w:r>
        <w:rPr>
          <w:b/>
        </w:rPr>
        <w:t>Type:</w:t>
      </w:r>
      <w:r>
        <w:t xml:space="preserve"> Story (EDS Authoring)</w:t>
      </w:r>
    </w:p>
    <w:p>
      <w:r>
        <w:rPr>
          <w:b/>
        </w:rPr>
        <w:t>Component:</w:t>
      </w:r>
      <w:r>
        <w:t xml:space="preserve"> EDS Storefront (DA) — Commerce Block (product carousel)</w:t>
      </w:r>
    </w:p>
    <w:p>
      <w:r>
        <w:rPr>
          <w:b/>
        </w:rPr>
        <w:t>Related design:</w:t>
      </w:r>
      <w:r>
        <w:t xml:space="preserve"> Figma node 6930-252999 — </w:t>
      </w:r>
      <w:r>
        <w:rPr>
          <w:rFonts w:ascii="Consolas" w:hAnsi="Consolas"/>
          <w:color w:val="8B0000"/>
          <w:sz w:val="18"/>
        </w:rPr>
        <w:t>New Arrivals</w:t>
      </w:r>
      <w:r>
        <w:t xml:space="preserve"> (Options 1/2 × Desktop/Tablet/Mobile).</w:t>
      </w:r>
    </w:p>
    <w:p>
      <w:r>
        <w:rPr>
          <w:b/>
        </w:rPr>
        <w:t>Companion stories:</w:t>
      </w:r>
      <w:r>
        <w:t xml:space="preserve"> Commerce API — New Arrivals product feed · ACCS Site Visit — New Arrivals rendering &amp; UX.</w:t>
      </w:r>
    </w:p>
    <w:p>
      <w:r>
        <w:rPr>
          <w:b/>
        </w:rPr>
        <w:t>Stream:</w:t>
      </w:r>
      <w:r>
        <w:t xml:space="preserve"> EDS Authoring (content model, authoring rules, DA preview).</w:t>
      </w:r>
    </w:p>
    <w:p>
      <w:pPr>
        <w:pStyle w:val="Heading2"/>
      </w:pPr>
      <w:r>
        <w:t>INVEST</w:t>
      </w:r>
    </w:p>
    <w:p>
      <w:pPr>
        <w:pStyle w:val="ListBullet"/>
      </w:pPr>
      <w:r>
        <w:rPr>
          <w:b/>
        </w:rPr>
        <w:t>Independent:</w:t>
      </w:r>
      <w:r>
        <w:t xml:space="preserve"> authoring/config concerns only; consumes the Commerce API story's contract but is testable with sample data.</w:t>
      </w:r>
    </w:p>
    <w:p>
      <w:pPr>
        <w:pStyle w:val="ListBullet"/>
      </w:pPr>
      <w:r>
        <w:rPr>
          <w:b/>
        </w:rPr>
        <w:t>Negotiable:</w:t>
      </w:r>
      <w:r>
        <w:t xml:space="preserve"> field set and source options can be refined.</w:t>
      </w:r>
    </w:p>
    <w:p>
      <w:pPr>
        <w:pStyle w:val="ListBullet"/>
      </w:pPr>
      <w:r>
        <w:rPr>
          <w:b/>
        </w:rPr>
        <w:t>Valuable:</w:t>
      </w:r>
      <w:r>
        <w:t xml:space="preserve"> lets merchandisers surface new arrivals without code or manual product lists.</w:t>
      </w:r>
    </w:p>
    <w:p>
      <w:pPr>
        <w:pStyle w:val="ListBullet"/>
      </w:pPr>
      <w:r>
        <w:rPr>
          <w:b/>
        </w:rPr>
        <w:t>Estimable:</w:t>
      </w:r>
      <w:r>
        <w:t xml:space="preserve"> small, well-bounded config surface.</w:t>
      </w:r>
    </w:p>
    <w:p>
      <w:pPr>
        <w:pStyle w:val="ListBullet"/>
      </w:pPr>
      <w:r>
        <w:rPr>
          <w:b/>
        </w:rPr>
        <w:t>Small:</w:t>
      </w:r>
      <w:r>
        <w:t xml:space="preserve"> single block's authoring model.</w:t>
      </w:r>
    </w:p>
    <w:p>
      <w:pPr>
        <w:pStyle w:val="ListBullet"/>
      </w:pPr>
      <w:r>
        <w:rPr>
          <w:b/>
        </w:rPr>
        <w:t>Testable:</w:t>
      </w:r>
      <w:r>
        <w:t xml:space="preserve"> pass/fail Given/When/Then below.</w:t>
      </w:r>
    </w:p>
    <w:p>
      <w:pPr>
        <w:pStyle w:val="Heading2"/>
      </w:pPr>
      <w:r>
        <w:t>User Story</w:t>
      </w:r>
    </w:p>
    <w:p>
      <w:r>
        <w:rPr>
          <w:b/>
        </w:rPr>
        <w:t>As a</w:t>
      </w:r>
      <w:r>
        <w:t xml:space="preserve"> content author / merchandiser,</w:t>
      </w:r>
    </w:p>
    <w:p>
      <w:r>
        <w:rPr>
          <w:b/>
        </w:rPr>
        <w:t>I want</w:t>
      </w:r>
      <w:r>
        <w:t xml:space="preserve"> to configure the New Arrivals block (heading, layout option, feature tile, and product source),</w:t>
      </w:r>
    </w:p>
    <w:p>
      <w:r>
        <w:rPr>
          <w:b/>
        </w:rPr>
        <w:t>so that</w:t>
      </w:r>
      <w:r>
        <w:t xml:space="preserve"> I can present new products without maintaining product lists by hand.</w:t>
      </w:r>
    </w:p>
    <w:p>
      <w:pPr>
        <w:pStyle w:val="Heading2"/>
      </w:pPr>
      <w:r>
        <w:t>Content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Displayed data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Content is sourced from</w:t>
            </w:r>
          </w:p>
        </w:tc>
        <w:tc>
          <w:tcPr>
            <w:tcW w:type="dxa" w:w="2880"/>
            <w:shd w:fill="2C3E50" w:val="clear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Required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heading ("New Arrivals")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Layout option (Opton-1 / Opton-2)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Feature-tile image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Feature-tile label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Feature-tile CTA (label + link)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source (category / collection / SKU list / new-arrivals rule)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EDS (config) → ACCS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Max products / autoplay / loop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  <w:tr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 card content (image, name, price, badges, swatches)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ACCS (dynamic)</w:t>
            </w:r>
          </w:p>
        </w:tc>
        <w:tc>
          <w:tcPr>
            <w:tcW w:type="dxa" w:w="2880"/>
            <w:shd w:fill="F4F6F7" w:val="clear"/>
          </w:tcPr>
          <w:p>
            <w:r>
              <w:rPr>
                <w:sz w:val="18"/>
              </w:rPr>
            </w:r>
            <w:r>
              <w:rPr>
                <w:sz w:val="18"/>
              </w:rPr>
              <w:t>N/A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Carousel controls (arrows, counter, dots)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</w:t>
            </w:r>
          </w:p>
        </w:tc>
      </w:tr>
    </w:tbl>
    <w:p/>
    <w:p>
      <w:pPr>
        <w:pStyle w:val="ListBullet"/>
      </w:pPr>
      <w:r>
        <w:t xml:space="preserve">Authored as a block table (e.g., </w:t>
      </w:r>
      <w:r>
        <w:rPr>
          <w:b/>
        </w:rPr>
        <w:t>`New Arrivals`</w:t>
      </w:r>
      <w:r>
        <w:t>) in the page document.</w:t>
      </w:r>
    </w:p>
    <w:p>
      <w:pPr>
        <w:pStyle w:val="ListBullet"/>
      </w:pPr>
      <w:r>
        <w:t xml:space="preserve">Author configures the </w:t>
      </w:r>
      <w:r>
        <w:rPr>
          <w:b/>
        </w:rPr>
        <w:t>product source</w:t>
      </w:r>
      <w:r>
        <w:t>, not individual products.</w:t>
      </w:r>
    </w:p>
    <w:p>
      <w:pPr>
        <w:pStyle w:val="Heading2"/>
      </w:pPr>
      <w:r>
        <w:t>Acceptance Criteria (Given / When / Then)</w:t>
      </w:r>
    </w:p>
    <w:p>
      <w:r>
        <w:rPr>
          <w:b/>
        </w:rPr>
        <w:t>Scenario A1 — Add the block</w:t>
      </w:r>
    </w:p>
    <w:p>
      <w:pPr>
        <w:pStyle w:val="ListBullet"/>
      </w:pPr>
      <w:r>
        <w:rPr>
          <w:b/>
        </w:rPr>
        <w:t>Given</w:t>
      </w:r>
      <w:r>
        <w:t xml:space="preserve"> an author is editing a page document in DA</w:t>
      </w:r>
    </w:p>
    <w:p>
      <w:pPr>
        <w:pStyle w:val="ListBullet"/>
      </w:pPr>
      <w:r>
        <w:rPr>
          <w:b/>
        </w:rPr>
        <w:t>When</w:t>
      </w:r>
      <w:r>
        <w:t xml:space="preserve"> they insert the </w:t>
      </w:r>
      <w:r>
        <w:rPr>
          <w:rFonts w:ascii="Consolas" w:hAnsi="Consolas"/>
          <w:color w:val="8B0000"/>
          <w:sz w:val="18"/>
        </w:rPr>
        <w:t>New Arrivals</w:t>
      </w:r>
      <w:r>
        <w:t xml:space="preserve"> block</w:t>
      </w:r>
    </w:p>
    <w:p>
      <w:pPr>
        <w:pStyle w:val="ListBullet"/>
      </w:pPr>
      <w:r>
        <w:rPr>
          <w:b/>
        </w:rPr>
        <w:t>Then</w:t>
      </w:r>
      <w:r>
        <w:t xml:space="preserve"> the block appears and renders in preview with sample/live products.</w:t>
      </w:r>
    </w:p>
    <w:p>
      <w:r>
        <w:rPr>
          <w:b/>
        </w:rPr>
        <w:t>Scenario A2 — Heading</w:t>
      </w:r>
    </w:p>
    <w:p>
      <w:pPr>
        <w:pStyle w:val="ListBullet"/>
      </w:pPr>
      <w:r>
        <w:rPr>
          <w:b/>
        </w:rPr>
        <w:t>Given</w:t>
      </w:r>
      <w:r>
        <w:t xml:space="preserve"> the block is in the document</w:t>
      </w:r>
    </w:p>
    <w:p>
      <w:pPr>
        <w:pStyle w:val="ListBullet"/>
      </w:pPr>
      <w:r>
        <w:rPr>
          <w:b/>
        </w:rPr>
        <w:t>When</w:t>
      </w:r>
      <w:r>
        <w:t xml:space="preserve"> the author sets the heading text</w:t>
      </w:r>
    </w:p>
    <w:p>
      <w:pPr>
        <w:pStyle w:val="ListBullet"/>
      </w:pPr>
      <w:r>
        <w:rPr>
          <w:b/>
        </w:rPr>
        <w:t>Then</w:t>
      </w:r>
      <w:r>
        <w:t xml:space="preserve"> the entered heading renders above the carousel; if left empty, no heading is output and the block still renders.</w:t>
      </w:r>
    </w:p>
    <w:p>
      <w:r>
        <w:rPr>
          <w:b/>
        </w:rPr>
        <w:t>Scenario A3 — Layout option</w:t>
      </w:r>
    </w:p>
    <w:p>
      <w:pPr>
        <w:pStyle w:val="ListBullet"/>
      </w:pPr>
      <w:r>
        <w:rPr>
          <w:b/>
        </w:rPr>
        <w:t>Given</w:t>
      </w:r>
      <w:r>
        <w:t xml:space="preserve"> the block is in the document</w:t>
      </w:r>
    </w:p>
    <w:p>
      <w:pPr>
        <w:pStyle w:val="ListBullet"/>
      </w:pPr>
      <w:r>
        <w:rPr>
          <w:b/>
        </w:rPr>
        <w:t>When</w:t>
      </w:r>
      <w:r>
        <w:t xml:space="preserve"> the author selects Opton-1 or Opton-2</w:t>
      </w:r>
    </w:p>
    <w:p>
      <w:pPr>
        <w:pStyle w:val="ListBullet"/>
      </w:pPr>
      <w:r>
        <w:rPr>
          <w:b/>
        </w:rPr>
        <w:t>Then</w:t>
      </w:r>
      <w:r>
        <w:t xml:space="preserve"> the corresponding layout is applied in preview.</w:t>
      </w:r>
    </w:p>
    <w:p>
      <w:r>
        <w:rPr>
          <w:b/>
        </w:rPr>
        <w:t>Scenario A4 — Product source config</w:t>
      </w:r>
    </w:p>
    <w:p>
      <w:pPr>
        <w:pStyle w:val="ListBullet"/>
      </w:pPr>
      <w:r>
        <w:rPr>
          <w:b/>
        </w:rPr>
        <w:t>Given</w:t>
      </w:r>
      <w:r>
        <w:t xml:space="preserve"> the block is in the document</w:t>
      </w:r>
    </w:p>
    <w:p>
      <w:pPr>
        <w:pStyle w:val="ListBullet"/>
      </w:pPr>
      <w:r>
        <w:rPr>
          <w:b/>
        </w:rPr>
        <w:t>When</w:t>
      </w:r>
      <w:r>
        <w:t xml:space="preserve"> the author sets the product source (category / collection / SKU list / new-arrivals rule) and max products</w:t>
      </w:r>
    </w:p>
    <w:p>
      <w:pPr>
        <w:pStyle w:val="ListBullet"/>
      </w:pPr>
      <w:r>
        <w:rPr>
          <w:b/>
        </w:rPr>
        <w:t>Then</w:t>
      </w:r>
      <w:r>
        <w:t xml:space="preserve"> the carousel populates from that source via the Commerce API (up to the max) — the author does not enter individual products.</w:t>
      </w:r>
    </w:p>
    <w:p>
      <w:r>
        <w:rPr>
          <w:b/>
        </w:rPr>
        <w:t>Scenario A5 — Feature tile (optional)</w:t>
      </w:r>
    </w:p>
    <w:p>
      <w:pPr>
        <w:pStyle w:val="ListBullet"/>
      </w:pPr>
      <w:r>
        <w:rPr>
          <w:b/>
        </w:rPr>
        <w:t>Given</w:t>
      </w:r>
      <w:r>
        <w:t xml:space="preserve"> the author provides a feature-tile image, label, and CTA</w:t>
      </w:r>
    </w:p>
    <w:p>
      <w:pPr>
        <w:pStyle w:val="ListBullet"/>
      </w:pPr>
      <w:r>
        <w:rPr>
          <w:b/>
        </w:rPr>
        <w:t>When</w:t>
      </w:r>
      <w:r>
        <w:t xml:space="preserve"> the block renders</w:t>
      </w:r>
    </w:p>
    <w:p>
      <w:pPr>
        <w:pStyle w:val="ListBullet"/>
      </w:pPr>
      <w:r>
        <w:rPr>
          <w:b/>
        </w:rPr>
        <w:t>Then</w:t>
      </w:r>
      <w:r>
        <w:t xml:space="preserve"> the feature tile shows with its CTA; if the feature tile is omitted, the carousel renders without it and no empty slot remains.</w:t>
      </w:r>
    </w:p>
    <w:p>
      <w:r>
        <w:rPr>
          <w:b/>
        </w:rPr>
        <w:t>Scenario A6 — No mandatory fields / graceful blank</w:t>
      </w:r>
    </w:p>
    <w:p>
      <w:pPr>
        <w:pStyle w:val="ListBullet"/>
      </w:pPr>
      <w:r>
        <w:rPr>
          <w:b/>
        </w:rPr>
        <w:t>Given</w:t>
      </w:r>
      <w:r>
        <w:t xml:space="preserve"> the author leaves any subset of authorable fields empty</w:t>
      </w:r>
    </w:p>
    <w:p>
      <w:pPr>
        <w:pStyle w:val="ListBullet"/>
      </w:pPr>
      <w:r>
        <w:rPr>
          <w:b/>
        </w:rPr>
        <w:t>When</w:t>
      </w:r>
      <w:r>
        <w:t xml:space="preserve"> the block saves and previews</w:t>
      </w:r>
    </w:p>
    <w:p>
      <w:pPr>
        <w:pStyle w:val="ListBullet"/>
      </w:pPr>
      <w:r>
        <w:rPr>
          <w:b/>
        </w:rPr>
        <w:t>Then</w:t>
      </w:r>
      <w:r>
        <w:t xml:space="preserve"> it saves and renders without error; only empty elements are omitted; no placeholder text.</w:t>
      </w:r>
    </w:p>
    <w:p>
      <w:r>
        <w:rPr>
          <w:b/>
        </w:rPr>
        <w:t>Scenario A7 — Preview parity</w:t>
      </w:r>
    </w:p>
    <w:p>
      <w:pPr>
        <w:pStyle w:val="ListBullet"/>
      </w:pPr>
      <w:r>
        <w:rPr>
          <w:b/>
        </w:rPr>
        <w:t>Given</w:t>
      </w:r>
      <w:r>
        <w:t xml:space="preserve"> the author has configured the block</w:t>
      </w:r>
    </w:p>
    <w:p>
      <w:pPr>
        <w:pStyle w:val="ListBullet"/>
      </w:pPr>
      <w:r>
        <w:rPr>
          <w:b/>
        </w:rPr>
        <w:t>When</w:t>
      </w:r>
      <w:r>
        <w:t xml:space="preserve"> they view DA preview</w:t>
      </w:r>
    </w:p>
    <w:p>
      <w:pPr>
        <w:pStyle w:val="ListBullet"/>
      </w:pPr>
      <w:r>
        <w:rPr>
          <w:b/>
        </w:rPr>
        <w:t>Then</w:t>
      </w:r>
      <w:r>
        <w:t xml:space="preserve"> the preview matches what will render on the published site.</w:t>
      </w:r>
    </w:p>
    <w:p>
      <w:pPr>
        <w:pStyle w:val="Heading2"/>
      </w:pPr>
      <w:r>
        <w:t>Dependencies</w:t>
      </w:r>
    </w:p>
    <w:p>
      <w:pPr>
        <w:pStyle w:val="ListBullet"/>
      </w:pPr>
      <w:r>
        <w:t>Commerce API — New Arrivals product feed (provides products).</w:t>
      </w:r>
    </w:p>
    <w:p>
      <w:pPr>
        <w:pStyle w:val="ListBullet"/>
      </w:pPr>
      <w:r>
        <w:t>DA authoring environment / block registration.</w:t>
      </w:r>
    </w:p>
    <w:p>
      <w:pPr>
        <w:pStyle w:val="Heading2"/>
      </w:pPr>
      <w:r>
        <w:t>Open Items</w:t>
      </w:r>
    </w:p>
    <w:p>
      <w:pPr>
        <w:pStyle w:val="ListBullet"/>
      </w:pPr>
      <w:r>
        <w:t>Confirm the block table label used in DA.</w:t>
      </w:r>
    </w:p>
    <w:p>
      <w:pPr>
        <w:pStyle w:val="ListBullet"/>
      </w:pPr>
      <w:r>
        <w:t>Confirm which layout option (Opton-1 / Opton-2) is default/MVP.</w:t>
      </w:r>
    </w:p>
    <w:p>
      <w:pPr>
        <w:pStyle w:val="ListBullet"/>
      </w:pPr>
      <w:r>
        <w:t>Confirm product-source options exposed to authors (category vs. collection vs. SKU list vs. rule).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