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Solution Design Document — Introduction</w:t>
      </w:r>
    </w:p>
    <w:p>
      <w:pPr>
        <w:pStyle w:val="Heading1"/>
      </w:pPr>
      <w:r>
        <w:t>1. Project Introduction</w:t>
      </w:r>
    </w:p>
    <w:p>
      <w:pPr>
        <w:pStyle w:val="Heading2"/>
      </w:pPr>
      <w:r>
        <w:t>1.1 Overview</w:t>
      </w:r>
    </w:p>
    <w:p>
      <w:r>
        <w:t>Thermo Fisher Scientific is undertaking a strategic migration of its web experience platform from AEM 6.4 (on-premise) to AEM Edge Delivery Services (EDS) with Document Authoring (DA) as the primary content authoring interface.</w:t>
      </w:r>
    </w:p>
    <w:p>
      <w:r>
        <w:t>This Solution Design Document (SDD) defines the technical architecture, block library design, integration patterns, and migration strategy for delivering the Thermo Fisher US site (thermofisher.com/us/en/) on EDS with DA authoring at da.live.</w:t>
      </w:r>
    </w:p>
    <w:p>
      <w:pPr>
        <w:pStyle w:val="Heading2"/>
      </w:pPr>
      <w:r>
        <w:t>1.2 Business Context</w:t>
      </w:r>
    </w:p>
    <w:p>
      <w:pPr>
        <w:pStyle w:val="ListBullet"/>
      </w:pPr>
      <w:r>
        <w:t>Current State: The existing site runs on AEM 6.4 with traditional Touch UI authoring, JCR-based content repository, component dialogs, and Style System variants.</w:t>
      </w:r>
    </w:p>
    <w:p>
      <w:pPr>
        <w:pStyle w:val="ListBullet"/>
      </w:pPr>
      <w:r>
        <w:t>Target State: AEM Edge Delivery Services with Document Authoring (DA) — a performance-first, document-based content platform served from a global edge CDN.</w:t>
      </w:r>
    </w:p>
    <w:p>
      <w:pPr>
        <w:pStyle w:val="ListBullet"/>
      </w:pPr>
      <w:r>
        <w:t>Business Driver: Achieve Lighthouse 100 performance scores (LCP, CLS, INP)</w:t>
      </w:r>
    </w:p>
    <w:p>
      <w:pPr>
        <w:pStyle w:val="ListBullet"/>
      </w:pPr>
      <w:r>
        <w:t>Business Driver: Simplify content authoring — from complex component dialogs to intuitive document editing</w:t>
      </w:r>
    </w:p>
    <w:p>
      <w:pPr>
        <w:pStyle w:val="ListBullet"/>
      </w:pPr>
      <w:r>
        <w:t>Business Driver: Reduce time-to-publish and accelerate content velocity</w:t>
      </w:r>
    </w:p>
    <w:p>
      <w:pPr>
        <w:pStyle w:val="ListBullet"/>
      </w:pPr>
      <w:r>
        <w:t>Business Driver: Improve SEO rankings through Web Vitals optimization</w:t>
      </w:r>
    </w:p>
    <w:p>
      <w:pPr>
        <w:pStyle w:val="ListBullet"/>
      </w:pPr>
      <w:r>
        <w:t>Business Driver: Modernize the technology stack with cloud-native, low-maintenance infrastructure</w:t>
      </w:r>
    </w:p>
    <w:p>
      <w:pPr>
        <w:pStyle w:val="Heading2"/>
      </w:pPr>
      <w:r>
        <w:t>1.3 Authoring Model</w:t>
      </w:r>
    </w:p>
    <w:p>
      <w:r>
        <w:t>The project adopts Document Authoring (DA) as the authoring interface:</w:t>
      </w:r>
    </w:p>
    <w:p>
      <w:pPr>
        <w:pStyle w:val="ListBullet"/>
      </w:pPr>
      <w:r>
        <w:t>Authors work in a web-based document editor at da.live (similar to a simplified word processor)</w:t>
      </w:r>
    </w:p>
    <w:p>
      <w:pPr>
        <w:pStyle w:val="ListBullet"/>
      </w:pPr>
      <w:r>
        <w:t>Content is structured as text, tables, images, and links</w:t>
      </w:r>
    </w:p>
    <w:p>
      <w:pPr>
        <w:pStyle w:val="ListBullet"/>
      </w:pPr>
      <w:r>
        <w:t>Blocks (components) are authored as tables — the table header names the block, rows contain the content</w:t>
      </w:r>
    </w:p>
    <w:p>
      <w:pPr>
        <w:pStyle w:val="ListBullet"/>
      </w:pPr>
      <w:r>
        <w:t>Variants are specified in the block name using parentheses, e.g., Accordion (icon-left)</w:t>
      </w:r>
    </w:p>
    <w:p>
      <w:pPr>
        <w:pStyle w:val="ListBullet"/>
      </w:pPr>
      <w:r>
        <w:t>Complex nested content is handled via the fragment reference pattern — linking to separate fragment pages</w:t>
      </w:r>
    </w:p>
    <w:p>
      <w:pPr>
        <w:pStyle w:val="ListBullet"/>
      </w:pPr>
      <w:r>
        <w:t>No component dialogs, no JCR, no Touch UI</w:t>
      </w:r>
    </w:p>
    <w:p>
      <w:pPr>
        <w:pStyle w:val="Heading2"/>
      </w:pPr>
      <w:r>
        <w:t>1.4 Key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fill="2F5496"/>
          </w:tcPr>
          <w:p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7937"/>
            <w:shd w:fill="2F5496"/>
          </w:tcPr>
          <w:p>
            <w:r/>
            <w:r>
              <w:rPr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Authoring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Adobe Document Authoring (DA) at da.live</w:t>
            </w:r>
          </w:p>
        </w:tc>
      </w:tr>
      <w:tr>
        <w:tc>
          <w:tcPr>
            <w:tcW w:type="dxa" w:w="2268"/>
            <w:shd w:fill="D6DCE4"/>
          </w:tcPr>
          <w:p>
            <w:r/>
            <w:r>
              <w:rPr>
                <w:sz w:val="20"/>
              </w:rPr>
              <w:t>Delivery</w:t>
            </w:r>
          </w:p>
        </w:tc>
        <w:tc>
          <w:tcPr>
            <w:tcW w:type="dxa" w:w="7937"/>
            <w:shd w:fill="D6DCE4"/>
          </w:tcPr>
          <w:p>
            <w:r/>
            <w:r>
              <w:rPr>
                <w:sz w:val="20"/>
              </w:rPr>
              <w:t>AEM Edge Delivery Services (EDS) — global edge CDN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Code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Vanilla JavaScript (ES6+), CSS3, no build step, no frameworks</w:t>
            </w:r>
          </w:p>
        </w:tc>
      </w:tr>
      <w:tr>
        <w:tc>
          <w:tcPr>
            <w:tcW w:type="dxa" w:w="2268"/>
            <w:shd w:fill="D6DCE4"/>
          </w:tcPr>
          <w:p>
            <w:r/>
            <w:r>
              <w:rPr>
                <w:sz w:val="20"/>
              </w:rPr>
              <w:t>Content Storage</w:t>
            </w:r>
          </w:p>
        </w:tc>
        <w:tc>
          <w:tcPr>
            <w:tcW w:type="dxa" w:w="7937"/>
            <w:shd w:fill="D6DCE4"/>
          </w:tcPr>
          <w:p>
            <w:r/>
            <w:r>
              <w:rPr>
                <w:sz w:val="20"/>
              </w:rPr>
              <w:t>DA-managed documents (HTML-based structure)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Repository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GitHub (code sync with EDS)</w:t>
            </w:r>
          </w:p>
        </w:tc>
      </w:tr>
      <w:tr>
        <w:tc>
          <w:tcPr>
            <w:tcW w:type="dxa" w:w="2268"/>
            <w:shd w:fill="D6DCE4"/>
          </w:tcPr>
          <w:p>
            <w:r/>
            <w:r>
              <w:rPr>
                <w:sz w:val="20"/>
              </w:rPr>
              <w:t>Forms</w:t>
            </w:r>
          </w:p>
        </w:tc>
        <w:tc>
          <w:tcPr>
            <w:tcW w:type="dxa" w:w="7937"/>
            <w:shd w:fill="D6DCE4"/>
          </w:tcPr>
          <w:p>
            <w:r/>
            <w:r>
              <w:rPr>
                <w:sz w:val="20"/>
              </w:rPr>
              <w:t>EDS Forms (rule editor, validations, reCAPTCHA)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Analytics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Data Layer integration (Adobe Analytics / Target)</w:t>
            </w:r>
          </w:p>
        </w:tc>
      </w:tr>
      <w:tr>
        <w:tc>
          <w:tcPr>
            <w:tcW w:type="dxa" w:w="2268"/>
            <w:shd w:fill="D6DCE4"/>
          </w:tcPr>
          <w:p>
            <w:r/>
            <w:r>
              <w:rPr>
                <w:sz w:val="20"/>
              </w:rPr>
              <w:t>Video</w:t>
            </w:r>
          </w:p>
        </w:tc>
        <w:tc>
          <w:tcPr>
            <w:tcW w:type="dxa" w:w="7937"/>
            <w:shd w:fill="D6DCE4"/>
          </w:tcPr>
          <w:p>
            <w:r/>
            <w:r>
              <w:rPr>
                <w:sz w:val="20"/>
              </w:rPr>
              <w:t>Brightcove integration</w:t>
            </w:r>
          </w:p>
        </w:tc>
      </w:tr>
    </w:tbl>
    <w:p>
      <w:pPr>
        <w:pStyle w:val="Heading1"/>
      </w:pPr>
      <w:r>
        <w:t>2. In Scope</w:t>
      </w:r>
    </w:p>
    <w:p>
      <w:pPr>
        <w:pStyle w:val="Heading2"/>
      </w:pPr>
      <w:r>
        <w:t>2.1 Sites &amp; Content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2F5496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7370"/>
            <w:shd w:fill="2F5496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Region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CUSA (US English site — thermofisher.com/us/en/)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Page Types</w:t>
            </w:r>
          </w:p>
        </w:tc>
        <w:tc>
          <w:tcPr>
            <w:tcW w:type="dxa" w:w="7370"/>
            <w:shd w:fill="D6DCE4"/>
          </w:tcPr>
          <w:p>
            <w:r/>
            <w:r>
              <w:rPr>
                <w:sz w:val="20"/>
              </w:rPr>
              <w:t>Explore/Landing Pages, PDP, Category, Resource/Education Pages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Content Migration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Phased migration of existing AEM 6.4 pages to EDS/DA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Templates</w:t>
            </w:r>
          </w:p>
        </w:tc>
        <w:tc>
          <w:tcPr>
            <w:tcW w:type="dxa" w:w="7370"/>
            <w:shd w:fill="D6DCE4"/>
          </w:tcPr>
          <w:p>
            <w:r/>
            <w:r>
              <w:rPr>
                <w:sz w:val="20"/>
              </w:rPr>
              <w:t>Page patterns via metadata, section structure, and implementation rules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Navigation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Header, Footer, Sub-navigation, Breadcrumb</w:t>
            </w:r>
          </w:p>
        </w:tc>
      </w:tr>
    </w:tbl>
    <w:p>
      <w:pPr>
        <w:pStyle w:val="Heading2"/>
      </w:pPr>
      <w:r>
        <w:t>2.2 Block Library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fill="2F5496"/>
          </w:tcPr>
          <w:p>
            <w:r/>
            <w:r>
              <w:rPr>
                <w:b/>
                <w:color w:val="FFFFFF"/>
                <w:sz w:val="20"/>
              </w:rPr>
              <w:t>Block</w:t>
            </w:r>
          </w:p>
        </w:tc>
        <w:tc>
          <w:tcPr>
            <w:tcW w:type="dxa" w:w="1701"/>
            <w:shd w:fill="2F5496"/>
          </w:tcPr>
          <w:p>
            <w:r/>
            <w:r>
              <w:rPr>
                <w:b/>
                <w:color w:val="FFFFFF"/>
                <w:sz w:val="20"/>
              </w:rPr>
              <w:t>Complexity</w:t>
            </w:r>
          </w:p>
        </w:tc>
        <w:tc>
          <w:tcPr>
            <w:tcW w:type="dxa" w:w="5669"/>
            <w:shd w:fill="2F5496"/>
          </w:tcPr>
          <w:p>
            <w:r/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Accordion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4 variants; fragment reference for complex content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Tabs</w:t>
            </w:r>
          </w:p>
        </w:tc>
        <w:tc>
          <w:tcPr>
            <w:tcW w:type="dxa" w:w="1701"/>
            <w:shd w:fill="D6DCE4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5669"/>
            <w:shd w:fill="D6DCE4"/>
          </w:tcPr>
          <w:p>
            <w:r/>
            <w:r>
              <w:rPr>
                <w:sz w:val="20"/>
              </w:rPr>
              <w:t>Tab container with repeatable panels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Hero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6 variants; foreground image, gradient overlay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Text and Image (Cards)</w:t>
            </w:r>
          </w:p>
        </w:tc>
        <w:tc>
          <w:tcPr>
            <w:tcW w:type="dxa" w:w="1701"/>
            <w:shd w:fill="D6DCE4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5669"/>
            <w:shd w:fill="D6DCE4"/>
          </w:tcPr>
          <w:p>
            <w:r/>
            <w:r>
              <w:rPr>
                <w:sz w:val="20"/>
              </w:rPr>
              <w:t>Multiple card layouts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CTA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Low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Call-to-action buttons and links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Breadcrumb</w:t>
            </w:r>
          </w:p>
        </w:tc>
        <w:tc>
          <w:tcPr>
            <w:tcW w:type="dxa" w:w="1701"/>
            <w:shd w:fill="D6DCE4"/>
          </w:tcPr>
          <w:p>
            <w:r/>
            <w:r>
              <w:rPr>
                <w:sz w:val="20"/>
              </w:rPr>
              <w:t>Low</w:t>
            </w:r>
          </w:p>
        </w:tc>
        <w:tc>
          <w:tcPr>
            <w:tcW w:type="dxa" w:w="5669"/>
            <w:shd w:fill="D6DCE4"/>
          </w:tcPr>
          <w:p>
            <w:r/>
            <w:r>
              <w:rPr>
                <w:sz w:val="20"/>
              </w:rPr>
              <w:t>Auto-generated from navigation hierarchy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Anchor List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Low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In-page jump links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Columns</w:t>
            </w:r>
          </w:p>
        </w:tc>
        <w:tc>
          <w:tcPr>
            <w:tcW w:type="dxa" w:w="1701"/>
            <w:shd w:fill="D6DCE4"/>
          </w:tcPr>
          <w:p>
            <w:r/>
            <w:r>
              <w:rPr>
                <w:sz w:val="20"/>
              </w:rPr>
              <w:t>Low</w:t>
            </w:r>
          </w:p>
        </w:tc>
        <w:tc>
          <w:tcPr>
            <w:tcW w:type="dxa" w:w="5669"/>
            <w:shd w:fill="D6DCE4"/>
          </w:tcPr>
          <w:p>
            <w:r/>
            <w:r>
              <w:rPr>
                <w:sz w:val="20"/>
              </w:rPr>
              <w:t>Multi-column layouts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Custom Table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Styled data tables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Sub Navigation</w:t>
            </w:r>
          </w:p>
        </w:tc>
        <w:tc>
          <w:tcPr>
            <w:tcW w:type="dxa" w:w="1701"/>
            <w:shd w:fill="D6DCE4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5669"/>
            <w:shd w:fill="D6DCE4"/>
          </w:tcPr>
          <w:p>
            <w:r/>
            <w:r>
              <w:rPr>
                <w:sz w:val="20"/>
              </w:rPr>
              <w:t>Section-level navigation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Basic Table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Low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Simple HTML tables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Testimonial</w:t>
            </w:r>
          </w:p>
        </w:tc>
        <w:tc>
          <w:tcPr>
            <w:tcW w:type="dxa" w:w="1701"/>
            <w:shd w:fill="D6DCE4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5669"/>
            <w:shd w:fill="D6DCE4"/>
          </w:tcPr>
          <w:p>
            <w:r/>
            <w:r>
              <w:rPr>
                <w:sz w:val="20"/>
              </w:rPr>
              <w:t>Customer quotes/testimonials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Embed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Low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Third-party embeds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Immersive</w:t>
            </w:r>
          </w:p>
        </w:tc>
        <w:tc>
          <w:tcPr>
            <w:tcW w:type="dxa" w:w="1701"/>
            <w:shd w:fill="D6DCE4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5669"/>
            <w:shd w:fill="D6DCE4"/>
          </w:tcPr>
          <w:p>
            <w:r/>
            <w:r>
              <w:rPr>
                <w:sz w:val="20"/>
              </w:rPr>
              <w:t>Full-page interactive experiences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PDP Document Display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Product specification documents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Carousel</w:t>
            </w:r>
          </w:p>
        </w:tc>
        <w:tc>
          <w:tcPr>
            <w:tcW w:type="dxa" w:w="1701"/>
            <w:shd w:fill="D6DCE4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5669"/>
            <w:shd w:fill="D6DCE4"/>
          </w:tcPr>
          <w:p>
            <w:r/>
            <w:r>
              <w:rPr>
                <w:sz w:val="20"/>
              </w:rPr>
              <w:t>Image/content carousels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Product Selection Guide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Interactive product selection tool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Featured Collection</w:t>
            </w:r>
          </w:p>
        </w:tc>
        <w:tc>
          <w:tcPr>
            <w:tcW w:type="dxa" w:w="1701"/>
            <w:shd w:fill="D6DCE4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5669"/>
            <w:shd w:fill="D6DCE4"/>
          </w:tcPr>
          <w:p>
            <w:r/>
            <w:r>
              <w:rPr>
                <w:sz w:val="20"/>
              </w:rPr>
              <w:t>Curated product collections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Media Formulation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Scientific media formulation tool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Product List</w:t>
            </w:r>
          </w:p>
        </w:tc>
        <w:tc>
          <w:tcPr>
            <w:tcW w:type="dxa" w:w="1701"/>
            <w:shd w:fill="D6DCE4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5669"/>
            <w:shd w:fill="D6DCE4"/>
          </w:tcPr>
          <w:p>
            <w:r/>
            <w:r>
              <w:rPr>
                <w:sz w:val="20"/>
              </w:rPr>
              <w:t>Dynamic product listing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Video / Video Playlist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Brightcove video integration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Dynamic Merchandising Offer</w:t>
            </w:r>
          </w:p>
        </w:tc>
        <w:tc>
          <w:tcPr>
            <w:tcW w:type="dxa" w:w="1701"/>
            <w:shd w:fill="D6DCE4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5669"/>
            <w:shd w:fill="D6DCE4"/>
          </w:tcPr>
          <w:p>
            <w:r/>
            <w:r>
              <w:rPr>
                <w:sz w:val="20"/>
              </w:rPr>
              <w:t>Personalized promotional content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Header &amp; Footer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Global navigation shell</w:t>
            </w:r>
          </w:p>
        </w:tc>
      </w:tr>
    </w:tbl>
    <w:p>
      <w:pPr>
        <w:pStyle w:val="Heading2"/>
      </w:pPr>
      <w:r>
        <w:t>2.3 Forms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2F5496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803"/>
            <w:shd w:fill="2F5496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Form Authoring in DA/EDS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EDS-native form blocks with spreadsheet-based field definitions</w:t>
            </w:r>
          </w:p>
        </w:tc>
      </w:tr>
      <w:tr>
        <w:tc>
          <w:tcPr>
            <w:tcW w:type="dxa" w:w="3402"/>
            <w:shd w:fill="D6DCE4"/>
          </w:tcPr>
          <w:p>
            <w:r/>
            <w:r>
              <w:rPr>
                <w:sz w:val="20"/>
              </w:rPr>
              <w:t>Rule Editor &amp; Validations</w:t>
            </w:r>
          </w:p>
        </w:tc>
        <w:tc>
          <w:tcPr>
            <w:tcW w:type="dxa" w:w="6803"/>
            <w:shd w:fill="D6DCE4"/>
          </w:tcPr>
          <w:p>
            <w:r/>
            <w:r>
              <w:rPr>
                <w:sz w:val="20"/>
              </w:rPr>
              <w:t>Conditional logic, field validations, show/hide rules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Request a Quote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Complex multi-step form with dynamic fields</w:t>
            </w:r>
          </w:p>
        </w:tc>
      </w:tr>
      <w:tr>
        <w:tc>
          <w:tcPr>
            <w:tcW w:type="dxa" w:w="3402"/>
            <w:shd w:fill="D6DCE4"/>
          </w:tcPr>
          <w:p>
            <w:r/>
            <w:r>
              <w:rPr>
                <w:sz w:val="20"/>
              </w:rPr>
              <w:t>Dynamic Dropdown / Cascading</w:t>
            </w:r>
          </w:p>
        </w:tc>
        <w:tc>
          <w:tcPr>
            <w:tcW w:type="dxa" w:w="6803"/>
            <w:shd w:fill="D6DCE4"/>
          </w:tcPr>
          <w:p>
            <w:r/>
            <w:r>
              <w:rPr>
                <w:sz w:val="20"/>
              </w:rPr>
              <w:t>API-driven dependent dropdowns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reCAPTCHA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Bot protection integration</w:t>
            </w:r>
          </w:p>
        </w:tc>
      </w:tr>
      <w:tr>
        <w:tc>
          <w:tcPr>
            <w:tcW w:type="dxa" w:w="3402"/>
            <w:shd w:fill="D6DCE4"/>
          </w:tcPr>
          <w:p>
            <w:r/>
            <w:r>
              <w:rPr>
                <w:sz w:val="20"/>
              </w:rPr>
              <w:t>Rendering &amp; Submission</w:t>
            </w:r>
          </w:p>
        </w:tc>
        <w:tc>
          <w:tcPr>
            <w:tcW w:type="dxa" w:w="6803"/>
            <w:shd w:fill="D6DCE4"/>
          </w:tcPr>
          <w:p>
            <w:r/>
            <w:r>
              <w:rPr>
                <w:sz w:val="20"/>
              </w:rPr>
              <w:t>Client-side rendering, server-side submission, document upload</w:t>
            </w:r>
          </w:p>
        </w:tc>
      </w:tr>
    </w:tbl>
    <w:p>
      <w:pPr>
        <w:pStyle w:val="Heading2"/>
      </w:pPr>
      <w:r>
        <w:t>2.4 Integrations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2F5496"/>
          </w:tcPr>
          <w:p>
            <w:r/>
            <w:r>
              <w:rPr>
                <w:b/>
                <w:color w:val="FFFFFF"/>
                <w:sz w:val="20"/>
              </w:rPr>
              <w:t>Integration</w:t>
            </w:r>
          </w:p>
        </w:tc>
        <w:tc>
          <w:tcPr>
            <w:tcW w:type="dxa" w:w="6803"/>
            <w:shd w:fill="2F5496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Content Syndication — PDP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Product data integration with Product Detail Pages</w:t>
            </w:r>
          </w:p>
        </w:tc>
      </w:tr>
      <w:tr>
        <w:tc>
          <w:tcPr>
            <w:tcW w:type="dxa" w:w="3402"/>
            <w:shd w:fill="D6DCE4"/>
          </w:tcPr>
          <w:p>
            <w:r/>
            <w:r>
              <w:rPr>
                <w:sz w:val="20"/>
              </w:rPr>
              <w:t>Brightcove</w:t>
            </w:r>
          </w:p>
        </w:tc>
        <w:tc>
          <w:tcPr>
            <w:tcW w:type="dxa" w:w="6803"/>
            <w:shd w:fill="D6DCE4"/>
          </w:tcPr>
          <w:p>
            <w:r/>
            <w:r>
              <w:rPr>
                <w:sz w:val="20"/>
              </w:rPr>
              <w:t>Video hosting and streaming integration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Data Layer &amp; Analytics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Adobe Analytics / Adobe Target integration</w:t>
            </w:r>
          </w:p>
        </w:tc>
      </w:tr>
      <w:tr>
        <w:tc>
          <w:tcPr>
            <w:tcW w:type="dxa" w:w="3402"/>
            <w:shd w:fill="D6DCE4"/>
          </w:tcPr>
          <w:p>
            <w:r/>
            <w:r>
              <w:rPr>
                <w:sz w:val="20"/>
              </w:rPr>
              <w:t>Forms Backend</w:t>
            </w:r>
          </w:p>
        </w:tc>
        <w:tc>
          <w:tcPr>
            <w:tcW w:type="dxa" w:w="6803"/>
            <w:shd w:fill="D6DCE4"/>
          </w:tcPr>
          <w:p>
            <w:r/>
            <w:r>
              <w:rPr>
                <w:sz w:val="20"/>
              </w:rPr>
              <w:t>Form submission endpoints and processing</w:t>
            </w:r>
          </w:p>
        </w:tc>
      </w:tr>
    </w:tbl>
    <w:p>
      <w:pPr>
        <w:pStyle w:val="Heading2"/>
      </w:pPr>
      <w:r>
        <w:t>2.5 Non-Functional Requirements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2F5496"/>
          </w:tcPr>
          <w:p>
            <w:r/>
            <w:r>
              <w:rPr>
                <w:b/>
                <w:color w:val="FFFFFF"/>
                <w:sz w:val="20"/>
              </w:rPr>
              <w:t>Area</w:t>
            </w:r>
          </w:p>
        </w:tc>
        <w:tc>
          <w:tcPr>
            <w:tcW w:type="dxa" w:w="7370"/>
            <w:shd w:fill="2F5496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SEO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Web Vitals optimization, structured data, redirect management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Performance</w:t>
            </w:r>
          </w:p>
        </w:tc>
        <w:tc>
          <w:tcPr>
            <w:tcW w:type="dxa" w:w="7370"/>
            <w:shd w:fill="D6DCE4"/>
          </w:tcPr>
          <w:p>
            <w:r/>
            <w:r>
              <w:rPr>
                <w:sz w:val="20"/>
              </w:rPr>
              <w:t>Lighthouse 100; LCP &lt; 2.5s, CLS &lt; 0.1, INP &lt; 200ms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Accessibility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WCAG 2.1 AA compliance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Browsers</w:t>
            </w:r>
          </w:p>
        </w:tc>
        <w:tc>
          <w:tcPr>
            <w:tcW w:type="dxa" w:w="7370"/>
            <w:shd w:fill="D6DCE4"/>
          </w:tcPr>
          <w:p>
            <w:r/>
            <w:r>
              <w:rPr>
                <w:sz w:val="20"/>
              </w:rPr>
              <w:t>Latest Chrome, Edge, Safari, Firefox (no IE)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Devices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Mobile, Tablet, Desktop</w:t>
            </w:r>
          </w:p>
        </w:tc>
      </w:tr>
      <w:tr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Viewports</w:t>
            </w:r>
          </w:p>
        </w:tc>
        <w:tc>
          <w:tcPr>
            <w:tcW w:type="dxa" w:w="7370"/>
            <w:shd w:fill="D6DCE4"/>
          </w:tcPr>
          <w:p>
            <w:r/>
            <w:r>
              <w:rPr>
                <w:sz w:val="20"/>
              </w:rPr>
              <w:t>Mobile (&lt;768px), Tablet (768–1199px), Desktop (&gt;=1200px)</w:t>
            </w:r>
          </w:p>
        </w:tc>
      </w:tr>
    </w:tbl>
    <w:p>
      <w:pPr>
        <w:pStyle w:val="Heading1"/>
      </w:pPr>
      <w:r>
        <w:t>3. Out of Scope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2F5496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803"/>
            <w:shd w:fill="2F5496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MSM / Multi-Site Manager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Not addressed in this phase; multi-region management handled separately</w:t>
            </w:r>
          </w:p>
        </w:tc>
      </w:tr>
      <w:tr>
        <w:tc>
          <w:tcPr>
            <w:tcW w:type="dxa" w:w="3402"/>
            <w:shd w:fill="D6DCE4"/>
          </w:tcPr>
          <w:p>
            <w:r/>
            <w:r>
              <w:rPr>
                <w:sz w:val="20"/>
              </w:rPr>
              <w:t>Translations / i18n</w:t>
            </w:r>
          </w:p>
        </w:tc>
        <w:tc>
          <w:tcPr>
            <w:tcW w:type="dxa" w:w="6803"/>
            <w:shd w:fill="D6DCE4"/>
          </w:tcPr>
          <w:p>
            <w:r/>
            <w:r>
              <w:rPr>
                <w:sz w:val="20"/>
              </w:rPr>
              <w:t>Language variants outside CUSA region not in scope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Experience Fragments migration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Replaced by DA fragment reference pattern</w:t>
            </w:r>
          </w:p>
        </w:tc>
      </w:tr>
      <w:tr>
        <w:tc>
          <w:tcPr>
            <w:tcW w:type="dxa" w:w="3402"/>
            <w:shd w:fill="D6DCE4"/>
          </w:tcPr>
          <w:p>
            <w:r/>
            <w:r>
              <w:rPr>
                <w:sz w:val="20"/>
              </w:rPr>
              <w:t>AEM Assets migration</w:t>
            </w:r>
          </w:p>
        </w:tc>
        <w:tc>
          <w:tcPr>
            <w:tcW w:type="dxa" w:w="6803"/>
            <w:shd w:fill="D6DCE4"/>
          </w:tcPr>
          <w:p>
            <w:r/>
            <w:r>
              <w:rPr>
                <w:sz w:val="20"/>
              </w:rPr>
              <w:t>Enterprise DAM strategy handled separately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Workflows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Content approval workflows deferred to later phase</w:t>
            </w:r>
          </w:p>
        </w:tc>
      </w:tr>
      <w:tr>
        <w:tc>
          <w:tcPr>
            <w:tcW w:type="dxa" w:w="3402"/>
            <w:shd w:fill="D6DCE4"/>
          </w:tcPr>
          <w:p>
            <w:r/>
            <w:r>
              <w:rPr>
                <w:sz w:val="20"/>
              </w:rPr>
              <w:t>User Groups &amp; Permissions</w:t>
            </w:r>
          </w:p>
        </w:tc>
        <w:tc>
          <w:tcPr>
            <w:tcW w:type="dxa" w:w="6803"/>
            <w:shd w:fill="D6DCE4"/>
          </w:tcPr>
          <w:p>
            <w:r/>
            <w:r>
              <w:rPr>
                <w:sz w:val="20"/>
              </w:rPr>
              <w:t>Permission model acknowledged but not fully detailed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Internet Explorer support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IE is end-of-life and not supported</w:t>
            </w:r>
          </w:p>
        </w:tc>
      </w:tr>
      <w:tr>
        <w:tc>
          <w:tcPr>
            <w:tcW w:type="dxa" w:w="3402"/>
            <w:shd w:fill="D6DCE4"/>
          </w:tcPr>
          <w:p>
            <w:r/>
            <w:r>
              <w:rPr>
                <w:sz w:val="20"/>
              </w:rPr>
              <w:t>Non-US regions (CCI, CBR, LATAM, EMEA)</w:t>
            </w:r>
          </w:p>
        </w:tc>
        <w:tc>
          <w:tcPr>
            <w:tcW w:type="dxa" w:w="6803"/>
            <w:shd w:fill="D6DCE4"/>
          </w:tcPr>
          <w:p>
            <w:r/>
            <w:r>
              <w:rPr>
                <w:sz w:val="20"/>
              </w:rPr>
              <w:t>Subsequent phases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AEM as a Cloud Service migration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Project targets EDS/DA, not AEMaaCS Author</w:t>
            </w:r>
          </w:p>
        </w:tc>
      </w:tr>
      <w:tr>
        <w:tc>
          <w:tcPr>
            <w:tcW w:type="dxa" w:w="3402"/>
            <w:shd w:fill="D6DCE4"/>
          </w:tcPr>
          <w:p>
            <w:r/>
            <w:r>
              <w:rPr>
                <w:sz w:val="20"/>
              </w:rPr>
              <w:t>Custom search implementation</w:t>
            </w:r>
          </w:p>
        </w:tc>
        <w:tc>
          <w:tcPr>
            <w:tcW w:type="dxa" w:w="6803"/>
            <w:shd w:fill="D6DCE4"/>
          </w:tcPr>
          <w:p>
            <w:r/>
            <w:r>
              <w:rPr>
                <w:sz w:val="20"/>
              </w:rPr>
              <w:t>Relies on existing infrastructure or third-party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E-commerce / cart integration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Store/transactional features outside scope</w:t>
            </w:r>
          </w:p>
        </w:tc>
      </w:tr>
      <w:tr>
        <w:tc>
          <w:tcPr>
            <w:tcW w:type="dxa" w:w="3402"/>
            <w:shd w:fill="D6DCE4"/>
          </w:tcPr>
          <w:p>
            <w:r/>
            <w:r>
              <w:rPr>
                <w:sz w:val="20"/>
              </w:rPr>
              <w:t>Cutover &amp; coexistence strategy</w:t>
            </w:r>
          </w:p>
        </w:tc>
        <w:tc>
          <w:tcPr>
            <w:tcW w:type="dxa" w:w="6803"/>
            <w:shd w:fill="D6DCE4"/>
          </w:tcPr>
          <w:p>
            <w:r/>
            <w:r>
              <w:rPr>
                <w:sz w:val="20"/>
              </w:rPr>
              <w:t>Defined in a separate cutover plan</w:t>
            </w:r>
          </w:p>
        </w:tc>
      </w:tr>
    </w:tbl>
    <w:p>
      <w:pPr>
        <w:pStyle w:val="Heading1"/>
      </w:pPr>
      <w:r>
        <w:t>4. Open Decisions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67"/>
            <w:shd w:fill="2F5496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35"/>
            <w:shd w:fill="2F5496"/>
          </w:tcPr>
          <w:p>
            <w:r/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969"/>
            <w:shd w:fill="2F5496"/>
          </w:tcPr>
          <w:p>
            <w:r/>
            <w:r>
              <w:rPr>
                <w:b/>
                <w:color w:val="FFFFFF"/>
                <w:sz w:val="20"/>
              </w:rPr>
              <w:t>Options</w:t>
            </w:r>
          </w:p>
        </w:tc>
        <w:tc>
          <w:tcPr>
            <w:tcW w:type="dxa" w:w="2835"/>
            <w:shd w:fill="2F5496"/>
          </w:tcPr>
          <w:p>
            <w:r/>
            <w:r>
              <w:rPr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Configuration mapping in DA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Spreadsheet-based / JSON config / Metadata block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Architecture</w:t>
            </w:r>
          </w:p>
        </w:tc>
      </w:tr>
      <w:tr>
        <w:tc>
          <w:tcPr>
            <w:tcW w:type="dxa" w:w="567"/>
            <w:shd w:fill="D6DCE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Governance &amp; Preflight checks</w:t>
            </w:r>
          </w:p>
        </w:tc>
        <w:tc>
          <w:tcPr>
            <w:tcW w:type="dxa" w:w="3969"/>
            <w:shd w:fill="D6DCE4"/>
          </w:tcPr>
          <w:p>
            <w:r/>
            <w:r>
              <w:rPr>
                <w:sz w:val="20"/>
              </w:rPr>
              <w:t>Cloud Manager audit / Custom preflight + Lighthouse / Automated PR checks</w:t>
            </w:r>
          </w:p>
        </w:tc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DevOps / QA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Analytics &amp; Target integration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EDS data layer + Launch / alloy.js / Custom delayed.js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Analytics Team</w:t>
            </w:r>
          </w:p>
        </w:tc>
      </w:tr>
      <w:tr>
        <w:tc>
          <w:tcPr>
            <w:tcW w:type="dxa" w:w="567"/>
            <w:shd w:fill="D6DCE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Templates &amp; Page Properties</w:t>
            </w:r>
          </w:p>
        </w:tc>
        <w:tc>
          <w:tcPr>
            <w:tcW w:type="dxa" w:w="3969"/>
            <w:shd w:fill="D6DCE4"/>
          </w:tcPr>
          <w:p>
            <w:r/>
            <w:r>
              <w:rPr>
                <w:sz w:val="20"/>
              </w:rPr>
              <w:t>Metadata block only / Spreadsheet-driven / Implementation-enforced</w:t>
            </w:r>
          </w:p>
        </w:tc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Content Architecture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Asset management model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DA-managed only / AEM Assets DAM + DA / Hybrid CDN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Digital Asset Team</w:t>
            </w:r>
          </w:p>
        </w:tc>
      </w:tr>
      <w:tr>
        <w:tc>
          <w:tcPr>
            <w:tcW w:type="dxa" w:w="567"/>
            <w:shd w:fill="D6DCE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Multi-site / Translation approach</w:t>
            </w:r>
          </w:p>
        </w:tc>
        <w:tc>
          <w:tcPr>
            <w:tcW w:type="dxa" w:w="3969"/>
            <w:shd w:fill="D6DCE4"/>
          </w:tcPr>
          <w:p>
            <w:r/>
            <w:r>
              <w:rPr>
                <w:sz w:val="20"/>
              </w:rPr>
              <w:t>Separate DA folders / MSM-equiv via code / External TMS</w:t>
            </w:r>
          </w:p>
        </w:tc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Globalization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Form submission backend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Adobe-managed / Custom API middleware / Direct third-party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Integration Team</w:t>
            </w:r>
          </w:p>
        </w:tc>
      </w:tr>
      <w:tr>
        <w:tc>
          <w:tcPr>
            <w:tcW w:type="dxa" w:w="567"/>
            <w:shd w:fill="D6DCE4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Cutover &amp; rollback strategy</w:t>
            </w:r>
          </w:p>
        </w:tc>
        <w:tc>
          <w:tcPr>
            <w:tcW w:type="dxa" w:w="3969"/>
            <w:shd w:fill="D6DCE4"/>
          </w:tcPr>
          <w:p>
            <w:r/>
            <w:r>
              <w:rPr>
                <w:sz w:val="20"/>
              </w:rPr>
              <w:t>Big-bang / Phased parallel / Traffic-based progressive</w:t>
            </w:r>
          </w:p>
        </w:tc>
        <w:tc>
          <w:tcPr>
            <w:tcW w:type="dxa" w:w="2835"/>
            <w:shd w:fill="D6DCE4"/>
          </w:tcPr>
          <w:p>
            <w:r/>
            <w:r>
              <w:rPr>
                <w:sz w:val="20"/>
              </w:rPr>
              <w:t>Program Management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CI quality gates &amp; test strategy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Lighthouse+lint / Full E2E+visual / Lighthouse+unit+a11y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QA / DevOps</w:t>
            </w:r>
          </w:p>
        </w:tc>
      </w:tr>
    </w:tbl>
    <w:p>
      <w:pPr>
        <w:pStyle w:val="Heading1"/>
      </w:pPr>
      <w:r>
        <w:t>5. Assumptions</w:t>
      </w:r>
    </w:p>
    <w:p>
      <w:pPr>
        <w:pStyle w:val="Heading2"/>
      </w:pPr>
      <w:r>
        <w:t>5.1 Platform &amp; Infrastructure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50"/>
            <w:shd w:fill="2F5496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9354"/>
            <w:shd w:fill="2F5496"/>
          </w:tcPr>
          <w:p>
            <w:r/>
            <w:r>
              <w:rPr>
                <w:b/>
                <w:color w:val="FFFFFF"/>
                <w:sz w:val="20"/>
              </w:rPr>
              <w:t>Assumption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A1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AEM Edge Delivery Services (EDS) is the approved delivery platform for the US site.</w:t>
            </w:r>
          </w:p>
        </w:tc>
      </w:tr>
      <w:tr>
        <w:tc>
          <w:tcPr>
            <w:tcW w:type="dxa" w:w="850"/>
            <w:shd w:fill="D6DCE4"/>
          </w:tcPr>
          <w:p>
            <w:r/>
            <w:r>
              <w:rPr>
                <w:sz w:val="20"/>
              </w:rPr>
              <w:t>A2</w:t>
            </w:r>
          </w:p>
        </w:tc>
        <w:tc>
          <w:tcPr>
            <w:tcW w:type="dxa" w:w="9354"/>
            <w:shd w:fill="D6DCE4"/>
          </w:tcPr>
          <w:p>
            <w:r/>
            <w:r>
              <w:rPr>
                <w:sz w:val="20"/>
              </w:rPr>
              <w:t>Document Authoring (DA) at da.live is the primary authoring interface — Universal Editor is not in scope.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A3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The EDS CDN (Adobe-managed) will be used for content delivery.</w:t>
            </w:r>
          </w:p>
        </w:tc>
      </w:tr>
      <w:tr>
        <w:tc>
          <w:tcPr>
            <w:tcW w:type="dxa" w:w="850"/>
            <w:shd w:fill="D6DCE4"/>
          </w:tcPr>
          <w:p>
            <w:r/>
            <w:r>
              <w:rPr>
                <w:sz w:val="20"/>
              </w:rPr>
              <w:t>A4</w:t>
            </w:r>
          </w:p>
        </w:tc>
        <w:tc>
          <w:tcPr>
            <w:tcW w:type="dxa" w:w="9354"/>
            <w:shd w:fill="D6DCE4"/>
          </w:tcPr>
          <w:p>
            <w:r/>
            <w:r>
              <w:rPr>
                <w:sz w:val="20"/>
              </w:rPr>
              <w:t>GitHub is the code repository with automatic code sync to EDS on push.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A5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The existing AEM 6.4 instance will continue serving pages not yet migrated (coexistence period).</w:t>
            </w:r>
          </w:p>
        </w:tc>
      </w:tr>
    </w:tbl>
    <w:p>
      <w:pPr>
        <w:pStyle w:val="Heading2"/>
      </w:pPr>
      <w:r>
        <w:t>5.2 Content &amp; Authoring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50"/>
            <w:shd w:fill="2F5496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9354"/>
            <w:shd w:fill="2F5496"/>
          </w:tcPr>
          <w:p>
            <w:r/>
            <w:r>
              <w:rPr>
                <w:b/>
                <w:color w:val="FFFFFF"/>
                <w:sz w:val="20"/>
              </w:rPr>
              <w:t>Assumption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A6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Authors will be trained on DA/EDS authoring model (table-based blocks, variants, fragments).</w:t>
            </w:r>
          </w:p>
        </w:tc>
      </w:tr>
      <w:tr>
        <w:tc>
          <w:tcPr>
            <w:tcW w:type="dxa" w:w="850"/>
            <w:shd w:fill="D6DCE4"/>
          </w:tcPr>
          <w:p>
            <w:r/>
            <w:r>
              <w:rPr>
                <w:sz w:val="20"/>
              </w:rPr>
              <w:t>A7</w:t>
            </w:r>
          </w:p>
        </w:tc>
        <w:tc>
          <w:tcPr>
            <w:tcW w:type="dxa" w:w="9354"/>
            <w:shd w:fill="D6DCE4"/>
          </w:tcPr>
          <w:p>
            <w:r/>
            <w:r>
              <w:rPr>
                <w:sz w:val="20"/>
              </w:rPr>
              <w:t>Content migration will be phased — priority pages identified by business stakeholders.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A8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The H1 heading on pages is authored as default content above block tables, not inside blocks.</w:t>
            </w:r>
          </w:p>
        </w:tc>
      </w:tr>
      <w:tr>
        <w:tc>
          <w:tcPr>
            <w:tcW w:type="dxa" w:w="850"/>
            <w:shd w:fill="D6DCE4"/>
          </w:tcPr>
          <w:p>
            <w:r/>
            <w:r>
              <w:rPr>
                <w:sz w:val="20"/>
              </w:rPr>
              <w:t>A9</w:t>
            </w:r>
          </w:p>
        </w:tc>
        <w:tc>
          <w:tcPr>
            <w:tcW w:type="dxa" w:w="9354"/>
            <w:shd w:fill="D6DCE4"/>
          </w:tcPr>
          <w:p>
            <w:r/>
            <w:r>
              <w:rPr>
                <w:sz w:val="20"/>
              </w:rPr>
              <w:t>Breadcrumbs are auto-generated from site navigation hierarchy, not manually authored.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A10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Fragment pages for complex nested content are authored as separate DA documents in /fragments/ path.</w:t>
            </w:r>
          </w:p>
        </w:tc>
      </w:tr>
    </w:tbl>
    <w:p>
      <w:pPr>
        <w:pStyle w:val="Heading2"/>
      </w:pPr>
      <w:r>
        <w:t>5.3 Performance &amp; Quality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50"/>
            <w:shd w:fill="2F5496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9354"/>
            <w:shd w:fill="2F5496"/>
          </w:tcPr>
          <w:p>
            <w:r/>
            <w:r>
              <w:rPr>
                <w:b/>
                <w:color w:val="FFFFFF"/>
                <w:sz w:val="20"/>
              </w:rPr>
              <w:t>Assumption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A11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Target is Lighthouse 100 on all Core Web Vitals (LCP &lt; 2.5s, CLS &lt; 0.1, INP &lt; 200ms).</w:t>
            </w:r>
          </w:p>
        </w:tc>
      </w:tr>
      <w:tr>
        <w:tc>
          <w:tcPr>
            <w:tcW w:type="dxa" w:w="850"/>
            <w:shd w:fill="D6DCE4"/>
          </w:tcPr>
          <w:p>
            <w:r/>
            <w:r>
              <w:rPr>
                <w:sz w:val="20"/>
              </w:rPr>
              <w:t>A12</w:t>
            </w:r>
          </w:p>
        </w:tc>
        <w:tc>
          <w:tcPr>
            <w:tcW w:type="dxa" w:w="9354"/>
            <w:shd w:fill="D6DCE4"/>
          </w:tcPr>
          <w:p>
            <w:r/>
            <w:r>
              <w:rPr>
                <w:sz w:val="20"/>
              </w:rPr>
              <w:t>EDS best practices ("keeping it 100") followed for all block implementations.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A13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Third-party scripts loaded in delayed.js to avoid impacting LCP.</w:t>
            </w:r>
          </w:p>
        </w:tc>
      </w:tr>
      <w:tr>
        <w:tc>
          <w:tcPr>
            <w:tcW w:type="dxa" w:w="850"/>
            <w:shd w:fill="D6DCE4"/>
          </w:tcPr>
          <w:p>
            <w:r/>
            <w:r>
              <w:rPr>
                <w:sz w:val="20"/>
              </w:rPr>
              <w:t>A14</w:t>
            </w:r>
          </w:p>
        </w:tc>
        <w:tc>
          <w:tcPr>
            <w:tcW w:type="dxa" w:w="9354"/>
            <w:shd w:fill="D6DCE4"/>
          </w:tcPr>
          <w:p>
            <w:r/>
            <w:r>
              <w:rPr>
                <w:sz w:val="20"/>
              </w:rPr>
              <w:t>Images uploaded by authors are automatically optimized by EDS.</w:t>
            </w:r>
          </w:p>
        </w:tc>
      </w:tr>
    </w:tbl>
    <w:p>
      <w:pPr>
        <w:pStyle w:val="Heading2"/>
      </w:pPr>
      <w:r>
        <w:t>5.4 Integrations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50"/>
            <w:shd w:fill="2F5496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9354"/>
            <w:shd w:fill="2F5496"/>
          </w:tcPr>
          <w:p>
            <w:r/>
            <w:r>
              <w:rPr>
                <w:b/>
                <w:color w:val="FFFFFF"/>
                <w:sz w:val="20"/>
              </w:rPr>
              <w:t>Assumption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A15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Brightcove is the approved video platform.</w:t>
            </w:r>
          </w:p>
        </w:tc>
      </w:tr>
      <w:tr>
        <w:tc>
          <w:tcPr>
            <w:tcW w:type="dxa" w:w="850"/>
            <w:shd w:fill="D6DCE4"/>
          </w:tcPr>
          <w:p>
            <w:r/>
            <w:r>
              <w:rPr>
                <w:sz w:val="20"/>
              </w:rPr>
              <w:t>A16</w:t>
            </w:r>
          </w:p>
        </w:tc>
        <w:tc>
          <w:tcPr>
            <w:tcW w:type="dxa" w:w="9354"/>
            <w:shd w:fill="D6DCE4"/>
          </w:tcPr>
          <w:p>
            <w:r/>
            <w:r>
              <w:rPr>
                <w:sz w:val="20"/>
              </w:rPr>
              <w:t>Product data API contract for PDPs will be provided by the PDP team.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A17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Form submission endpoints and business logic provided by backend/integration team.</w:t>
            </w:r>
          </w:p>
        </w:tc>
      </w:tr>
      <w:tr>
        <w:tc>
          <w:tcPr>
            <w:tcW w:type="dxa" w:w="850"/>
            <w:shd w:fill="D6DCE4"/>
          </w:tcPr>
          <w:p>
            <w:r/>
            <w:r>
              <w:rPr>
                <w:sz w:val="20"/>
              </w:rPr>
              <w:t>A18</w:t>
            </w:r>
          </w:p>
        </w:tc>
        <w:tc>
          <w:tcPr>
            <w:tcW w:type="dxa" w:w="9354"/>
            <w:shd w:fill="D6DCE4"/>
          </w:tcPr>
          <w:p>
            <w:r/>
            <w:r>
              <w:rPr>
                <w:sz w:val="20"/>
              </w:rPr>
              <w:t>Adobe Analytics/Target integration uses a data layer approach compatible with EDS performance.</w:t>
            </w:r>
          </w:p>
        </w:tc>
      </w:tr>
    </w:tbl>
    <w:p>
      <w:pPr>
        <w:pStyle w:val="Heading2"/>
      </w:pPr>
      <w:r>
        <w:t>5.5 Migration &amp; Team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50"/>
            <w:shd w:fill="2F5496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9354"/>
            <w:shd w:fill="2F5496"/>
          </w:tcPr>
          <w:p>
            <w:r/>
            <w:r>
              <w:rPr>
                <w:b/>
                <w:color w:val="FFFFFF"/>
                <w:sz w:val="20"/>
              </w:rPr>
              <w:t>Assumption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A19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Content mapping from AEM 6.4 components to EDS blocks agreed upon before migration.</w:t>
            </w:r>
          </w:p>
        </w:tc>
      </w:tr>
      <w:tr>
        <w:tc>
          <w:tcPr>
            <w:tcW w:type="dxa" w:w="850"/>
            <w:shd w:fill="D6DCE4"/>
          </w:tcPr>
          <w:p>
            <w:r/>
            <w:r>
              <w:rPr>
                <w:sz w:val="20"/>
              </w:rPr>
              <w:t>A20</w:t>
            </w:r>
          </w:p>
        </w:tc>
        <w:tc>
          <w:tcPr>
            <w:tcW w:type="dxa" w:w="9354"/>
            <w:shd w:fill="D6DCE4"/>
          </w:tcPr>
          <w:p>
            <w:r/>
            <w:r>
              <w:rPr>
                <w:sz w:val="20"/>
              </w:rPr>
              <w:t>URL structure and redirect strategy defined collaboratively with SEO and engineering.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A21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KPI baselines captured before migration for before/after comparison.</w:t>
            </w:r>
          </w:p>
        </w:tc>
      </w:tr>
      <w:tr>
        <w:tc>
          <w:tcPr>
            <w:tcW w:type="dxa" w:w="850"/>
            <w:shd w:fill="D6DCE4"/>
          </w:tcPr>
          <w:p>
            <w:r/>
            <w:r>
              <w:rPr>
                <w:sz w:val="20"/>
              </w:rPr>
              <w:t>A22</w:t>
            </w:r>
          </w:p>
        </w:tc>
        <w:tc>
          <w:tcPr>
            <w:tcW w:type="dxa" w:w="9354"/>
            <w:shd w:fill="D6DCE4"/>
          </w:tcPr>
          <w:p>
            <w:r/>
            <w:r>
              <w:rPr>
                <w:sz w:val="20"/>
              </w:rPr>
              <w:t>Development team has GitHub access with branch protection and review processes.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A23</w:t>
            </w:r>
          </w:p>
        </w:tc>
        <w:tc>
          <w:tcPr>
            <w:tcW w:type="dxa" w:w="9354"/>
          </w:tcPr>
          <w:p>
            <w:r/>
            <w:r>
              <w:rPr>
                <w:sz w:val="20"/>
              </w:rPr>
              <w:t>Code changes follow EDS publishing process: feature branch → PR → review → merge.</w:t>
            </w:r>
          </w:p>
        </w:tc>
      </w:tr>
    </w:tbl>
    <w:p>
      <w:pPr>
        <w:pStyle w:val="Heading1"/>
      </w:pPr>
      <w:r>
        <w:t>6. Risks &amp; Dependencies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  <w:shd w:fill="2F5496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535"/>
            <w:shd w:fill="2F5496"/>
          </w:tcPr>
          <w:p>
            <w:r/>
            <w:r>
              <w:rPr>
                <w:b/>
                <w:color w:val="FFFFFF"/>
                <w:sz w:val="20"/>
              </w:rPr>
              <w:t>Risk / Dependency</w:t>
            </w:r>
          </w:p>
        </w:tc>
        <w:tc>
          <w:tcPr>
            <w:tcW w:type="dxa" w:w="5102"/>
            <w:shd w:fill="2F5496"/>
          </w:tcPr>
          <w:p>
            <w:r/>
            <w:r>
              <w:rPr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Complex AEM 6.4 components may not map cleanly to EDS blocks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Fragment reference pattern and custom block implementations</w:t>
            </w:r>
          </w:p>
        </w:tc>
      </w:tr>
      <w:tr>
        <w:tc>
          <w:tcPr>
            <w:tcW w:type="dxa" w:w="567"/>
            <w:shd w:fill="D6DCE4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4535"/>
            <w:shd w:fill="D6DCE4"/>
          </w:tcPr>
          <w:p>
            <w:r/>
            <w:r>
              <w:rPr>
                <w:sz w:val="20"/>
              </w:rPr>
              <w:t>Author adoption — DA is a significant shift from Touch UI</w:t>
            </w:r>
          </w:p>
        </w:tc>
        <w:tc>
          <w:tcPr>
            <w:tcW w:type="dxa" w:w="5102"/>
            <w:shd w:fill="D6DCE4"/>
          </w:tcPr>
          <w:p>
            <w:r/>
            <w:r>
              <w:rPr>
                <w:sz w:val="20"/>
              </w:rPr>
              <w:t>Training, sample pages, authoring guides per block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Third-party script performance impact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Strict delayed loading policy; martech in delayed.js only</w:t>
            </w:r>
          </w:p>
        </w:tc>
      </w:tr>
      <w:tr>
        <w:tc>
          <w:tcPr>
            <w:tcW w:type="dxa" w:w="567"/>
            <w:shd w:fill="D6DCE4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4535"/>
            <w:shd w:fill="D6DCE4"/>
          </w:tcPr>
          <w:p>
            <w:r/>
            <w:r>
              <w:rPr>
                <w:sz w:val="20"/>
              </w:rPr>
              <w:t>Product data API availability for PDPs</w:t>
            </w:r>
          </w:p>
        </w:tc>
        <w:tc>
          <w:tcPr>
            <w:tcW w:type="dxa" w:w="5102"/>
            <w:shd w:fill="D6DCE4"/>
          </w:tcPr>
          <w:p>
            <w:r/>
            <w:r>
              <w:rPr>
                <w:sz w:val="20"/>
              </w:rPr>
              <w:t>Early engagement with PDP team; stub data for dev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R5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Migration volume — significant page count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Phased approach with priority-based migration waves</w:t>
            </w:r>
          </w:p>
        </w:tc>
      </w:tr>
      <w:tr>
        <w:tc>
          <w:tcPr>
            <w:tcW w:type="dxa" w:w="567"/>
            <w:shd w:fill="D6DCE4"/>
          </w:tcPr>
          <w:p>
            <w:r/>
            <w:r>
              <w:rPr>
                <w:sz w:val="20"/>
              </w:rPr>
              <w:t>R6</w:t>
            </w:r>
          </w:p>
        </w:tc>
        <w:tc>
          <w:tcPr>
            <w:tcW w:type="dxa" w:w="4535"/>
            <w:shd w:fill="D6DCE4"/>
          </w:tcPr>
          <w:p>
            <w:r/>
            <w:r>
              <w:rPr>
                <w:sz w:val="20"/>
              </w:rPr>
              <w:t>Open decisions blocking development</w:t>
            </w:r>
          </w:p>
        </w:tc>
        <w:tc>
          <w:tcPr>
            <w:tcW w:type="dxa" w:w="5102"/>
            <w:shd w:fill="D6DCE4"/>
          </w:tcPr>
          <w:p>
            <w:r/>
            <w:r>
              <w:rPr>
                <w:sz w:val="20"/>
              </w:rPr>
              <w:t>Timebox decisions; proceed with defaults and adjust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