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GSUSA Tagging Plans — Meeting Discussion Points</w:t>
      </w:r>
    </w:p>
    <w:p>
      <w:pPr>
        <w:pStyle w:val="Heading1"/>
      </w:pPr>
      <w:r>
        <w:t>GSUSA Analytics / Tagging Plans — Meeting Discussion Points</w:t>
      </w:r>
    </w:p>
    <w:p>
      <w:r>
        <w:rPr>
          <w:b/>
        </w:rPr>
        <w:t>Context:</w:t>
      </w:r>
      <w:r>
        <w:t xml:space="preserve"> GSUSA Digital Tracking provided a complete set of GA4/GTM tagging plans (16 docs + tracker), built from wireframes + Adobe block diagrams, for the GSM Adobe Commerce (ACCS) storefront delivered on EDS. The plans are detailed and well-structured. The discussion is </w:t>
      </w:r>
      <w:r>
        <w:rPr>
          <w:b/>
        </w:rPr>
        <w:t>how they land on EDS specifically</w:t>
      </w:r>
      <w:r>
        <w:t xml:space="preserve"> (placement, timing, who-pushes-what, drop-in events) and </w:t>
      </w:r>
      <w:r>
        <w:rPr>
          <w:b/>
        </w:rPr>
        <w:t>scope reconciliation</w:t>
      </w:r>
      <w:r>
        <w:t xml:space="preserve"> (pages without designs, EC-243 dependency).</w:t>
      </w:r>
    </w:p>
    <w:p>
      <w:r>
        <w:rPr>
          <w:b/>
        </w:rPr>
        <w:t>Known facts from the docs (not for debate):</w:t>
      </w:r>
    </w:p>
    <w:p>
      <w:pPr>
        <w:pStyle w:val="ListBullet"/>
      </w:pPr>
      <w:r>
        <w:t>Tool stack via GTM: GA4, Microsoft Clarity, SiteImprove, Google Ads, Meta, Pinterest, Truyo (consent).</w:t>
      </w:r>
    </w:p>
    <w:p>
      <w:pPr>
        <w:pStyle w:val="ListBullet"/>
      </w:pPr>
      <w:r>
        <w:t xml:space="preserve">Two GTM containers — Non-Prod </w:t>
      </w:r>
      <w:r>
        <w:rPr>
          <w:rFonts w:ascii="Consolas" w:hAnsi="Consolas"/>
          <w:color w:val="8B0000"/>
          <w:sz w:val="18"/>
        </w:rPr>
        <w:t>GTM-MSX7R7F4</w:t>
      </w:r>
      <w:r>
        <w:t xml:space="preserve">, Prod </w:t>
      </w:r>
      <w:r>
        <w:rPr>
          <w:rFonts w:ascii="Consolas" w:hAnsi="Consolas"/>
          <w:color w:val="8B0000"/>
          <w:sz w:val="18"/>
        </w:rPr>
        <w:t>GTM-NXWW7L3J</w:t>
      </w:r>
      <w:r>
        <w:t>.</w:t>
      </w:r>
    </w:p>
    <w:p>
      <w:pPr>
        <w:pStyle w:val="ListBullet"/>
      </w:pPr>
      <w:r>
        <w:t>Ownership: Digital Tracking owns *what gets tracked* (plan, GTM, snippets, validation); Adobe owns *what happened* (dataLayer pushes).</w:t>
      </w:r>
    </w:p>
    <w:p>
      <w:pPr>
        <w:pStyle w:val="ListBullet"/>
      </w:pPr>
      <w:r>
        <w:t xml:space="preserve">dataLayer-first architecture; </w:t>
      </w:r>
      <w:r>
        <w:rPr>
          <w:rFonts w:ascii="Consolas" w:hAnsi="Consolas"/>
          <w:color w:val="8B0000"/>
          <w:sz w:val="18"/>
        </w:rPr>
        <w:t>page_init</w:t>
      </w:r>
      <w:r>
        <w:t xml:space="preserve"> bootstrap event; controlled vocabularies for page_type, environment, etc.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data-analytics-*</w:t>
      </w:r>
      <w:r>
        <w:t xml:space="preserve"> attribute convention for click tracking.</w:t>
      </w:r>
    </w:p>
    <w:p>
      <w:pPr>
        <w:pStyle w:val="Heading2"/>
      </w:pPr>
      <w:r>
        <w:t>Discussion Points</w:t>
      </w:r>
    </w:p>
    <w:p>
      <w:pPr>
        <w:pStyle w:val="Heading3"/>
      </w:pPr>
      <w:r>
        <w:t>1. GTM placement vs. EDS performance (highest priority)</w:t>
      </w:r>
    </w:p>
    <w:p>
      <w:r>
        <w:t xml:space="preserve">Plans say "paste GTM as high in </w:t>
      </w:r>
      <w:r>
        <w:rPr>
          <w:rFonts w:ascii="Consolas" w:hAnsi="Consolas"/>
          <w:color w:val="8B0000"/>
          <w:sz w:val="18"/>
        </w:rPr>
        <w:t>&lt;head&gt;</w:t>
      </w:r>
      <w:r>
        <w:t xml:space="preserve"> as possible." On EDS this harms LCP/Lighthouse (target 100). GTM loads GA4 + Clarity + SiteImprove + Ads + Meta + Pinterest + Truyo.</w:t>
      </w:r>
    </w:p>
    <w:p>
      <w:pPr>
        <w:pStyle w:val="ListBullet"/>
      </w:pPr>
      <w:r>
        <w:rPr>
          <w:b/>
        </w:rPr>
        <w:t>Question:</w:t>
      </w:r>
      <w:r>
        <w:t xml:space="preserve"> Can GTM load in the EDS </w:t>
      </w:r>
      <w:r>
        <w:rPr>
          <w:b/>
        </w:rPr>
        <w:t>delayed phase</w:t>
      </w:r>
      <w:r>
        <w:t xml:space="preserve"> (</w:t>
      </w:r>
      <w:r>
        <w:rPr>
          <w:rFonts w:ascii="Consolas" w:hAnsi="Consolas"/>
          <w:color w:val="8B0000"/>
          <w:sz w:val="18"/>
        </w:rPr>
        <w:t>delayed.js</w:t>
      </w:r>
      <w:r>
        <w:t xml:space="preserve">, after LCP) instead of </w:t>
      </w:r>
      <w:r>
        <w:rPr>
          <w:rFonts w:ascii="Consolas" w:hAnsi="Consolas"/>
          <w:color w:val="8B0000"/>
          <w:sz w:val="18"/>
        </w:rPr>
        <w:t>&lt;head&gt;</w:t>
      </w:r>
      <w:r>
        <w:t xml:space="preserve">? What is the agreed performance budget with all tags firing? Where does the </w:t>
      </w:r>
      <w:r>
        <w:rPr>
          <w:rFonts w:ascii="Consolas" w:hAnsi="Consolas"/>
          <w:color w:val="8B0000"/>
          <w:sz w:val="18"/>
        </w:rPr>
        <w:t>&lt;noscript&gt;</w:t>
      </w:r>
      <w:r>
        <w:t xml:space="preserve"> iframe go on EDS?</w:t>
      </w:r>
    </w:p>
    <w:p>
      <w:pPr>
        <w:pStyle w:val="Heading3"/>
      </w:pPr>
      <w:r>
        <w:t>2. `page_init` ordering on EDS</w:t>
      </w:r>
    </w:p>
    <w:p>
      <w:r>
        <w:t xml:space="preserve">Plans require the </w:t>
      </w:r>
      <w:r>
        <w:rPr>
          <w:rFonts w:ascii="Consolas" w:hAnsi="Consolas"/>
          <w:color w:val="8B0000"/>
          <w:sz w:val="18"/>
        </w:rPr>
        <w:t>page_init</w:t>
      </w:r>
      <w:r>
        <w:t xml:space="preserve"> dataLayer push "above the GTM script in </w:t>
      </w:r>
      <w:r>
        <w:rPr>
          <w:rFonts w:ascii="Consolas" w:hAnsi="Consolas"/>
          <w:color w:val="8B0000"/>
          <w:sz w:val="18"/>
        </w:rPr>
        <w:t>&lt;head&gt;</w:t>
      </w:r>
      <w:r>
        <w:t>." EDS has no per-page server template to inject this.</w:t>
      </w:r>
    </w:p>
    <w:p>
      <w:pPr>
        <w:pStyle w:val="ListBullet"/>
      </w:pPr>
      <w:r>
        <w:rPr>
          <w:b/>
        </w:rPr>
        <w:t>Question:</w:t>
      </w:r>
      <w:r>
        <w:t xml:space="preserve"> Where do we push </w:t>
      </w:r>
      <w:r>
        <w:rPr>
          <w:rFonts w:ascii="Consolas" w:hAnsi="Consolas"/>
          <w:color w:val="8B0000"/>
          <w:sz w:val="18"/>
        </w:rPr>
        <w:t>page_init</w:t>
      </w:r>
      <w:r>
        <w:t xml:space="preserve"> (head.html / scripts.js eager phase) and how do we guarantee it runs before the delayed GTM load?</w:t>
      </w:r>
    </w:p>
    <w:p>
      <w:pPr>
        <w:pStyle w:val="Heading3"/>
      </w:pPr>
      <w:r>
        <w:t>3. Who emits events — per-block dataLayer pushes</w:t>
      </w:r>
    </w:p>
    <w:p>
      <w:r>
        <w:t xml:space="preserve">Plans define *what* to push; each EDS </w:t>
      </w:r>
      <w:r>
        <w:rPr>
          <w:b/>
        </w:rPr>
        <w:t>block's JS must do the pushing</w:t>
      </w:r>
      <w:r>
        <w:t xml:space="preserve"> (view_item_list, select_item, add_to_cart, etc.).</w:t>
      </w:r>
    </w:p>
    <w:p>
      <w:pPr>
        <w:pStyle w:val="ListBullet"/>
      </w:pPr>
      <w:r>
        <w:rPr>
          <w:b/>
        </w:rPr>
        <w:t>Question:</w:t>
      </w:r>
      <w:r>
        <w:t xml:space="preserve"> Standardize on a custom </w:t>
      </w:r>
      <w:r>
        <w:rPr>
          <w:rFonts w:ascii="Consolas" w:hAnsi="Consolas"/>
          <w:color w:val="8B0000"/>
          <w:sz w:val="18"/>
        </w:rPr>
        <w:t>dataLayer</w:t>
      </w:r>
      <w:r>
        <w:t xml:space="preserve"> (as written) or the Adobe Commerce </w:t>
      </w:r>
      <w:r>
        <w:rPr>
          <w:b/>
        </w:rPr>
        <w:t>Storefront Events SDK / ACDL</w:t>
      </w:r>
      <w:r>
        <w:t xml:space="preserve"> the drop-ins already emit? Avoid double-tracking. This becomes AC in every block story.</w:t>
      </w:r>
    </w:p>
    <w:p>
      <w:pPr>
        <w:pStyle w:val="Heading3"/>
      </w:pPr>
      <w:r>
        <w:t>4. `data-analytics-*` attributes in blocks</w:t>
      </w:r>
    </w:p>
    <w:p>
      <w:r>
        <w:t xml:space="preserve">Click tracking relies on </w:t>
      </w:r>
      <w:r>
        <w:rPr>
          <w:rFonts w:ascii="Consolas" w:hAnsi="Consolas"/>
          <w:color w:val="8B0000"/>
          <w:sz w:val="18"/>
        </w:rPr>
        <w:t>data-analytics-type/location/item/destination</w:t>
      </w:r>
      <w:r>
        <w:t xml:space="preserve"> with controlled vocabularies.</w:t>
      </w:r>
    </w:p>
    <w:p>
      <w:pPr>
        <w:pStyle w:val="ListBullet"/>
      </w:pPr>
      <w:r>
        <w:rPr>
          <w:b/>
        </w:rPr>
        <w:t>Question:</w:t>
      </w:r>
      <w:r>
        <w:t xml:space="preserve"> Confirm EDS block JS adds these attributes; for nav/footer authored in DA, how are stable slugs derived? Who maintains the controlled vocabulary?</w:t>
      </w:r>
    </w:p>
    <w:p>
      <w:pPr>
        <w:pStyle w:val="Heading3"/>
      </w:pPr>
      <w:r>
        <w:t>5. Ecommerce items ↔ EC-243 attributes</w:t>
      </w:r>
    </w:p>
    <w:p>
      <w:r>
        <w:rPr>
          <w:rFonts w:ascii="Consolas" w:hAnsi="Consolas"/>
          <w:color w:val="8B0000"/>
          <w:sz w:val="18"/>
        </w:rPr>
        <w:t>view_item</w:t>
      </w:r>
      <w:r>
        <w:t xml:space="preserve">, </w:t>
      </w:r>
      <w:r>
        <w:rPr>
          <w:rFonts w:ascii="Consolas" w:hAnsi="Consolas"/>
          <w:color w:val="8B0000"/>
          <w:sz w:val="18"/>
        </w:rPr>
        <w:t>add_to_cart</w:t>
      </w:r>
      <w:r>
        <w:t xml:space="preserve">, </w:t>
      </w:r>
      <w:r>
        <w:rPr>
          <w:rFonts w:ascii="Consolas" w:hAnsi="Consolas"/>
          <w:color w:val="8B0000"/>
          <w:sz w:val="18"/>
        </w:rPr>
        <w:t>purchase</w:t>
      </w:r>
      <w:r>
        <w:t xml:space="preserve"> need GA4 item params (</w:t>
      </w:r>
      <w:r>
        <w:rPr>
          <w:rFonts w:ascii="Consolas" w:hAnsi="Consolas"/>
          <w:color w:val="8B0000"/>
          <w:sz w:val="18"/>
        </w:rPr>
        <w:t>item_id</w:t>
      </w:r>
      <w:r>
        <w:t xml:space="preserve">, </w:t>
      </w:r>
      <w:r>
        <w:rPr>
          <w:rFonts w:ascii="Consolas" w:hAnsi="Consolas"/>
          <w:color w:val="8B0000"/>
          <w:sz w:val="18"/>
        </w:rPr>
        <w:t>item_name</w:t>
      </w:r>
      <w:r>
        <w:t xml:space="preserve">, </w:t>
      </w:r>
      <w:r>
        <w:rPr>
          <w:rFonts w:ascii="Consolas" w:hAnsi="Consolas"/>
          <w:color w:val="8B0000"/>
          <w:sz w:val="18"/>
        </w:rPr>
        <w:t>item_category</w:t>
      </w:r>
      <w:r>
        <w:t xml:space="preserve">, </w:t>
      </w:r>
      <w:r>
        <w:rPr>
          <w:rFonts w:ascii="Consolas" w:hAnsi="Consolas"/>
          <w:color w:val="8B0000"/>
          <w:sz w:val="18"/>
        </w:rPr>
        <w:t>item_category2</w:t>
      </w:r>
      <w:r>
        <w:t>…), sourced from ACCS catalog attributes.</w:t>
      </w:r>
    </w:p>
    <w:p>
      <w:pPr>
        <w:pStyle w:val="ListBullet"/>
      </w:pPr>
      <w:r>
        <w:rPr>
          <w:b/>
        </w:rPr>
        <w:t>Question:</w:t>
      </w:r>
      <w:r>
        <w:t xml:space="preserve"> Confirm category/sub-category attributes (EC-243) map to GA4 item params; who owns the mapping?</w:t>
      </w:r>
    </w:p>
    <w:p>
      <w:pPr>
        <w:pStyle w:val="Heading3"/>
      </w:pPr>
      <w:r>
        <w:t>6. Checkout events on drop-ins (no full page loads)</w:t>
      </w:r>
    </w:p>
    <w:p>
      <w:r>
        <w:t>Checkout plan lists begin_checkout, add_shipping_info, add_payment_info, etc. ACCS drop-ins update steps without navigation.</w:t>
      </w:r>
    </w:p>
    <w:p>
      <w:pPr>
        <w:pStyle w:val="ListBullet"/>
      </w:pPr>
      <w:r>
        <w:rPr>
          <w:b/>
        </w:rPr>
        <w:t>Question:</w:t>
      </w:r>
      <w:r>
        <w:t xml:space="preserve"> Do these fire on virtual page views / component events? Who instruments the drop-in events (Adobe boilerplate vs. custom)?</w:t>
      </w:r>
    </w:p>
    <w:p>
      <w:pPr>
        <w:pStyle w:val="Heading3"/>
      </w:pPr>
      <w:r>
        <w:t>7. Pages in plans without designs/blocks yet</w:t>
      </w:r>
    </w:p>
    <w:p>
      <w:r>
        <w:t>Plans include B2B QuickOrders, Fulfilment Log, Store Locator, Council Landing Page, Contact Us, FAQ, Transaction &amp; Invoice, MyAccount — several not in the Guest/Caregivers B2C Figma canvas or current block inventory.</w:t>
      </w:r>
    </w:p>
    <w:p>
      <w:pPr>
        <w:pStyle w:val="ListBullet"/>
      </w:pPr>
      <w:r>
        <w:rPr>
          <w:b/>
        </w:rPr>
        <w:t>Question:</w:t>
      </w:r>
      <w:r>
        <w:t xml:space="preserve"> Are all in MVP scope? Do we have designs/blocks for them, or are they phased?</w:t>
      </w:r>
    </w:p>
    <w:p>
      <w:pPr>
        <w:pStyle w:val="Heading3"/>
      </w:pPr>
      <w:r>
        <w:t>8. Environment variable mapping</w:t>
      </w:r>
    </w:p>
    <w:p>
      <w:r>
        <w:rPr>
          <w:rFonts w:ascii="Consolas" w:hAnsi="Consolas"/>
          <w:color w:val="8B0000"/>
          <w:sz w:val="18"/>
        </w:rPr>
        <w:t>environment</w:t>
      </w:r>
      <w:r>
        <w:t xml:space="preserve"> controlled values: production/staging/qa/dev. EDS environments are branch preview / main preview / live.</w:t>
      </w:r>
    </w:p>
    <w:p>
      <w:pPr>
        <w:pStyle w:val="ListBullet"/>
      </w:pPr>
      <w:r>
        <w:rPr>
          <w:b/>
        </w:rPr>
        <w:t>Question:</w:t>
      </w:r>
      <w:r>
        <w:t xml:space="preserve"> Reconfirm mapping and who sets the </w:t>
      </w:r>
      <w:r>
        <w:rPr>
          <w:rFonts w:ascii="Consolas" w:hAnsi="Consolas"/>
          <w:color w:val="8B0000"/>
          <w:sz w:val="18"/>
        </w:rPr>
        <w:t>environment</w:t>
      </w:r>
      <w:r>
        <w:t xml:space="preserve"> value on EDS (no server-side injection).</w:t>
      </w:r>
    </w:p>
    <w:p>
      <w:pPr>
        <w:pStyle w:val="Heading3"/>
      </w:pPr>
      <w:r>
        <w:t>9. Consent (Truyo) ordering</w:t>
      </w:r>
    </w:p>
    <w:p>
      <w:pPr>
        <w:pStyle w:val="ListBullet"/>
      </w:pPr>
      <w:r>
        <w:rPr>
          <w:b/>
        </w:rPr>
        <w:t>Question:</w:t>
      </w:r>
      <w:r>
        <w:t xml:space="preserve"> Confirm Truyo consent resolves before GA4/Ads/Meta fire (Consent Mode v2), and how consent state reaches GTM in the delayed phase.</w:t>
      </w:r>
    </w:p>
    <w:p>
      <w:pPr>
        <w:pStyle w:val="Heading3"/>
      </w:pPr>
      <w:r>
        <w:t>10. Versioning / change control</w:t>
      </w:r>
    </w:p>
    <w:p>
      <w:r>
        <w:t>Plans are version-dated and built from wireframes; we now have final Figma + block stories.</w:t>
      </w:r>
    </w:p>
    <w:p>
      <w:pPr>
        <w:pStyle w:val="ListBullet"/>
      </w:pPr>
      <w:r>
        <w:rPr>
          <w:b/>
        </w:rPr>
        <w:t>Question:</w:t>
      </w:r>
      <w:r>
        <w:t xml:space="preserve"> Agree a process to reconcile plan deltas where the design evolved past the wireframes.</w:t>
      </w:r>
    </w:p>
    <w:p>
      <w:pPr>
        <w:pStyle w:val="Heading2"/>
      </w:pPr>
      <w:r>
        <w:t>Suggested asks / next steps</w:t>
      </w:r>
    </w:p>
    <w:p>
      <w:pPr>
        <w:pStyle w:val="ListBullet"/>
      </w:pPr>
      <w:r>
        <w:t xml:space="preserve">Adobe to confirm the EDS GTM load strategy (delayed phase) and </w:t>
      </w:r>
      <w:r>
        <w:rPr>
          <w:rFonts w:ascii="Consolas" w:hAnsi="Consolas"/>
          <w:color w:val="8B0000"/>
          <w:sz w:val="18"/>
        </w:rPr>
        <w:t>page_init</w:t>
      </w:r>
      <w:r>
        <w:t xml:space="preserve"> bootstrap location.</w:t>
      </w:r>
    </w:p>
    <w:p>
      <w:pPr>
        <w:pStyle w:val="ListBullet"/>
      </w:pPr>
      <w:r>
        <w:t>Joint decision: custom dataLayer vs. Storefront Events SDK/ACDL.</w:t>
      </w:r>
    </w:p>
    <w:p>
      <w:pPr>
        <w:pStyle w:val="ListBullet"/>
      </w:pPr>
      <w:r>
        <w:t>Map the tagging-plan pages to the block inventory / stories; flag gaps (Section "Pages without designs").</w:t>
      </w:r>
    </w:p>
    <w:p>
      <w:pPr>
        <w:pStyle w:val="ListBullet"/>
      </w:pPr>
      <w:r>
        <w:t>Confirm EC-243 attribute → GA4 item param mapping owner.</w:t>
      </w:r>
    </w:p>
    <w:p>
      <w:pPr>
        <w:pStyle w:val="ListBullet"/>
      </w:pPr>
      <w:r>
        <w:t>Confirm MVP page scope and phasing.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