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Save Time with Quick Order Promo Block</w:t>
      </w:r>
    </w:p>
    <w:p>
      <w:pPr>
        <w:pStyle w:val="Heading1"/>
      </w:pPr>
      <w:r>
        <w:t>EDS Story — "Save Time with Quick Order" Promo Block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 / CTA Block</w:t>
      </w:r>
    </w:p>
    <w:p>
      <w:r>
        <w:rPr>
          <w:b/>
        </w:rPr>
        <w:t>Related design:</w:t>
      </w:r>
      <w:r>
        <w:t xml:space="preserve"> Figma node 2749-49697 — </w:t>
      </w:r>
      <w:r>
        <w:rPr>
          <w:rFonts w:ascii="Consolas" w:hAnsi="Consolas"/>
          <w:color w:val="8B0000"/>
          <w:sz w:val="18"/>
        </w:rPr>
        <w:t>Save Time with Quick Order</w:t>
      </w:r>
      <w:r>
        <w:t xml:space="preserve"> (COMPONENT_SET: Desktop 1280×276, Tablet 768×238, Mobile 360×257).</w:t>
      </w:r>
    </w:p>
    <w:p>
      <w:r>
        <w:rPr>
          <w:b/>
        </w:rPr>
        <w:t>Audience note:</w:t>
      </w:r>
      <w:r>
        <w:t xml:space="preserve"> This is a </w:t>
      </w:r>
      <w:r>
        <w:rPr>
          <w:b/>
        </w:rPr>
        <w:t>B2B / Leaders</w:t>
      </w:r>
      <w:r>
        <w:t xml:space="preserve"> entry point — links into the Quick Order flow (see B2B QuickOrders tagging plan / flow).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troop leader / B2B buyer on girlscoutshop.com,</w:t>
      </w:r>
    </w:p>
    <w:p>
      <w:r>
        <w:rPr>
          <w:b/>
        </w:rPr>
        <w:t>I want</w:t>
      </w:r>
      <w:r>
        <w:t xml:space="preserve"> a prominent "Save Time with Quick Order" banner that lets me jump into adding products by SKU,</w:t>
      </w:r>
    </w:p>
    <w:p>
      <w:r>
        <w:rPr>
          <w:b/>
        </w:rPr>
        <w:t>so that</w:t>
      </w:r>
      <w:r>
        <w:t xml:space="preserve"> I can quickly build a large order without browsing.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author the heading, subtext, and CTA of this promo banner,</w:t>
      </w:r>
    </w:p>
    <w:p>
      <w:r>
        <w:rPr>
          <w:b/>
        </w:rPr>
        <w:t>so that</w:t>
      </w:r>
      <w:r>
        <w:t xml:space="preserve"> I can maintain the Quick Order entry point without code changes.</w:t>
      </w:r>
    </w:p>
    <w:p>
      <w:pPr>
        <w:pStyle w:val="Heading2"/>
      </w:pPr>
      <w:r>
        <w:t>Description</w:t>
      </w:r>
    </w:p>
    <w:p>
      <w:r>
        <w:t xml:space="preserve">Build a compact horizontal </w:t>
      </w:r>
      <w:r>
        <w:rPr>
          <w:b/>
        </w:rPr>
        <w:t>promo/CTA banner</w:t>
      </w:r>
      <w:r>
        <w:t xml:space="preserve"> with decorative icons, a heading, a supporting line, and a primary CTA button that routes to the Quick Order flow. Responsive across Desktop / Tablet / Mobile. This is authored content; the CTA links to the Quick Order page.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~1168; compact height ~276 (desktop).</w:t>
      </w:r>
    </w:p>
    <w:p>
      <w:pPr>
        <w:pStyle w:val="ListBullet"/>
      </w:pPr>
      <w:r>
        <w:rPr>
          <w:b/>
        </w:rPr>
        <w:t>Decorative icons</w:t>
      </w:r>
      <w:r>
        <w:t xml:space="preserve"> (left): two icon/illustration groups (code/asset-provided).</w:t>
      </w:r>
    </w:p>
    <w:p>
      <w:pPr>
        <w:pStyle w:val="ListBullet"/>
      </w:pPr>
      <w:r>
        <w:rPr>
          <w:b/>
        </w:rPr>
        <w:t>Heading</w:t>
      </w:r>
      <w:r>
        <w:t>: "Save Time with Quick Order" — Girl Scout Light(300) 36/43, black.</w:t>
      </w:r>
    </w:p>
    <w:p>
      <w:pPr>
        <w:pStyle w:val="ListBullet"/>
      </w:pPr>
      <w:r>
        <w:rPr>
          <w:b/>
        </w:rPr>
        <w:t>Subtext</w:t>
      </w:r>
      <w:r>
        <w:t xml:space="preserve">: "Have your SKUs? Add them here to qui[ckly]…" — Trefoil Sans 400 20/24, </w:t>
      </w:r>
      <w:r>
        <w:rPr>
          <w:rFonts w:ascii="Consolas" w:hAnsi="Consolas"/>
          <w:color w:val="8B0000"/>
          <w:sz w:val="18"/>
        </w:rPr>
        <w:t>#2D2E33</w:t>
      </w:r>
      <w:r>
        <w:t>.</w:t>
      </w:r>
    </w:p>
    <w:p>
      <w:pPr>
        <w:pStyle w:val="ListBullet"/>
      </w:pPr>
      <w:r>
        <w:rPr>
          <w:b/>
        </w:rPr>
        <w:t>Primary CTA</w:t>
      </w:r>
      <w:r>
        <w:t>: "START QUICK ORDER" — button (~210×52), Trefoil Sans 500 16/21, white label on green fill, with icon.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1280×276, Tablet 768×238, Mobile 360×257 (stacks/scales; icons may reduce or hide).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"START QUICK ORDER" button</w:t>
      </w:r>
      <w:r>
        <w:t>: green fill darkens (≈</w:t>
      </w:r>
      <w:r>
        <w:rPr>
          <w:rFonts w:ascii="Consolas" w:hAnsi="Consolas"/>
          <w:color w:val="8B0000"/>
          <w:sz w:val="18"/>
        </w:rPr>
        <w:t>#004a37</w:t>
      </w:r>
      <w:r>
        <w:t>) or inverts to outline on hover; icon nudges; cursor pointer; visible focus ring (≥3:1 contrast).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hover has an equivalent keyboard-focus state; ≥44×44px tap target on mobile.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 (Save Time with Quick Order)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Subtext / supporting line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label ("START QUICK ORDER")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link (Quick Order page)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Decorative icons / illustrations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`Quick Order Promo`</w:t>
      </w:r>
      <w:r>
        <w:t>) in the page document.</w:t>
      </w:r>
    </w:p>
    <w:p>
      <w:pPr>
        <w:pStyle w:val="ListBullet"/>
      </w:pPr>
      <w:r>
        <w:t>Author sets heading, subtext, and the CTA (label + link).</w:t>
      </w:r>
    </w:p>
    <w:p>
      <w:pPr>
        <w:pStyle w:val="ListBullet"/>
      </w:pPr>
      <w:r>
        <w:t>Decorative icons are code/asset-provided, not authored.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the heading and subtext.</w:t>
      </w:r>
    </w:p>
    <w:p>
      <w:pPr>
        <w:pStyle w:val="ListBullet"/>
      </w:pPr>
      <w:r>
        <w:t>Author can set the CTA label and link (Quick Order page).</w:t>
      </w:r>
    </w:p>
    <w:p>
      <w:pPr>
        <w:pStyle w:val="ListBullet"/>
      </w:pPr>
      <w:r>
        <w:t>Omitting the subtext renders the block cleanly.</w:t>
      </w:r>
    </w:p>
    <w:p>
      <w:pPr>
        <w:pStyle w:val="ListBullet"/>
      </w:pPr>
      <w:r>
        <w:t>Preview reflects the block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icons, heading, subtext, and CTA per design.</w:t>
      </w:r>
    </w:p>
    <w:p>
      <w:pPr>
        <w:pStyle w:val="ListBullet"/>
      </w:pPr>
      <w:r>
        <w:t>Clicking "START QUICK ORDER" navigates to the Quick Order flow/page.</w:t>
      </w:r>
    </w:p>
    <w:p>
      <w:pPr>
        <w:pStyle w:val="ListBullet"/>
      </w:pPr>
      <w:r>
        <w:t>Responsive: layout adapts at tablet and mobile without overflow or distortion.</w:t>
      </w:r>
    </w:p>
    <w:p>
      <w:pPr>
        <w:pStyle w:val="ListBullet"/>
      </w:pPr>
      <w:r>
        <w:t>Keyboard: CTA is focusable with visible focus; Enter activates.</w:t>
      </w:r>
    </w:p>
    <w:p>
      <w:pPr>
        <w:pStyle w:val="ListBullet"/>
      </w:pPr>
      <w:r>
        <w:t>WCAG 2.1 AA: heading structure, accessible CTA name, sufficient contrast; decorative icons hidden from assistive tech.</w:t>
      </w:r>
    </w:p>
    <w:p>
      <w:pPr>
        <w:pStyle w:val="ListBullet"/>
      </w:pPr>
      <w:r>
        <w:t>Performance: icons optimized; no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Authored content — no catalog data.</w:t>
      </w:r>
      <w:r>
        <w:t xml:space="preserve"> Heading, subtext, and CTA are authored in DA.</w:t>
      </w:r>
    </w:p>
    <w:p>
      <w:pPr>
        <w:pStyle w:val="ListBullet"/>
      </w:pPr>
      <w:r>
        <w:t xml:space="preserve">The CTA links to the </w:t>
      </w:r>
      <w:r>
        <w:rPr>
          <w:b/>
        </w:rPr>
        <w:t>Quick Order page</w:t>
      </w:r>
      <w:r>
        <w:t xml:space="preserve"> (a Commerce/B2B flow). The Quick Order page itself (SKU entry, add-to-cart) is a separate ticket/flow.</w:t>
      </w:r>
    </w:p>
    <w:p>
      <w:pPr>
        <w:pStyle w:val="Heading2"/>
      </w:pPr>
      <w:r>
        <w:t>Dependencies</w:t>
      </w:r>
    </w:p>
    <w:p>
      <w:pPr>
        <w:pStyle w:val="ListBullet"/>
      </w:pPr>
      <w:r>
        <w:t>Quick Order page/flow (CTA target) — separate ticket (see B2B QuickOrders).</w:t>
      </w:r>
    </w:p>
    <w:p>
      <w:pPr>
        <w:pStyle w:val="ListBullet"/>
      </w:pPr>
      <w:r>
        <w:t>Adobe Assets / DA (or code) for the decorative icons.</w:t>
      </w:r>
    </w:p>
    <w:p>
      <w:pPr>
        <w:pStyle w:val="ListBullet"/>
      </w:pPr>
      <w:r>
        <w:t>Shared 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the CTA target URL (Quick Order page path).</w:t>
      </w:r>
    </w:p>
    <w:p>
      <w:pPr>
        <w:pStyle w:val="ListBullet"/>
      </w:pPr>
      <w:r>
        <w:t>Confirm audience/placement: B2B/Leaders home only, or shown to all users.</w:t>
      </w:r>
    </w:p>
    <w:p>
      <w:pPr>
        <w:pStyle w:val="ListBullet"/>
      </w:pPr>
      <w:r>
        <w:t>Confirm whether the decorative icons are fixed (code) or author-selectable.</w:t>
      </w:r>
    </w:p>
    <w:p>
      <w:pPr>
        <w:pStyle w:val="ListBullet"/>
      </w:pPr>
      <w:r>
        <w:t>Confirm exact hover shade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