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6"/>
        </w:rPr>
        <w:t>Wetland Degradation Analysis of Keta Lagoon Complex</w:t>
        <w:br/>
        <w:t>and Muni-Pomadze Ramsar Sites, Ghana</w:t>
      </w:r>
    </w:p>
    <w:p/>
    <w:p>
      <w:pPr>
        <w:jc w:val="center"/>
      </w:pPr>
      <w:r>
        <w:rPr>
          <w:sz w:val="26"/>
        </w:rPr>
        <w:t>Land Use / Land Cover Change Detection and</w:t>
        <w:br/>
        <w:t>CA-Markov Future Projection (1991–2035)</w:t>
      </w:r>
    </w:p>
    <w:p/>
    <w:p>
      <w:pPr>
        <w:jc w:val="center"/>
      </w:pPr>
      <w:r>
        <w:rPr>
          <w:sz w:val="24"/>
        </w:rPr>
        <w:t>June 2026</w:t>
      </w:r>
    </w:p>
    <w:p>
      <w:r>
        <w:br w:type="page"/>
      </w:r>
    </w:p>
    <w:p>
      <w:pPr>
        <w:pStyle w:val="Heading1"/>
      </w:pPr>
      <w:r>
        <w:t>Abstract</w:t>
      </w:r>
    </w:p>
    <w:p>
      <w:r>
        <w:t>This study investigates land use and land cover (LULC) dynamics at two Ghana Ramsar Sites — Keta Lagoon Complex and Muni-Pomadze — over a 34-year period (1991–2025) using multi-temporal Landsat satellite imagery and Support Vector Machine (SVM) supervised classification. Three LULC classes were mapped: Vegetation, Water body, and Built up/Bareland. Accuracy assessments yielded Overall Accuracy (OA) values of 81.4%–86.9% (Kappa: 0.697–0.792) for Keta Lagoon Complex, and 83.3%–90.0% (Kappa: 0.750–0.850) for Muni-Pomadze, confirming satisfactory classification performance. Between 1991 and 2025, Vegetation cover at Keta changed by -346.4 km² while Built up/Bareland expanded by +361.9 km²; at Muni-Pomadze, Vegetation changed by -7.4 km² and Built up/Bareland by +7.2 km². CA-Markov transition modelling projects continued degradation trends through 2035 at both sites. Shannon Diversity Index and patch-fragmentation metrics corroborate observed LULC dynamics. Findings underscore significant wetland degradation pressures and have direct implications for Ramsar site management and conservation policy.</w:t>
      </w:r>
    </w:p>
    <w:p>
      <w:r>
        <w:br w:type="page"/>
      </w:r>
    </w:p>
    <w:p>
      <w:pPr>
        <w:pStyle w:val="Heading1"/>
      </w:pPr>
      <w:r>
        <w:t>1. Methodology</w:t>
      </w:r>
    </w:p>
    <w:p>
      <w:pPr>
        <w:pStyle w:val="Heading2"/>
      </w:pPr>
      <w:r>
        <w:t>1.1 Study Area</w:t>
      </w:r>
    </w:p>
    <w:p>
      <w:r>
        <w:t>Keta Lagoon Complex Ramsar Site is located in the Volta Region of south-eastern Ghana (approx. 5°50′N, 0°55′E) and is the country's largest Ramsar Site, encompassing a mosaic of coastal lagoon, mangrove, salt marsh and estuarine habitats. Muni-Pomadze Ramsar Site lies along the central coast of Ghana (approx. 5°22′N, 0°36′W) in the Central Region and consists of a shallow coastal lagoon surrounded by coastal scrub, mangrove fringe and sandy beach. Both sites support internationally important waterbird populations and are under increasing anthropogenic pressure from urban expansion, agriculture and climate variability.</w:t>
      </w:r>
    </w:p>
    <w:p>
      <w:pPr>
        <w:pStyle w:val="Heading2"/>
      </w:pPr>
      <w:r>
        <w:t>1.2 Data and Classification</w:t>
      </w:r>
    </w:p>
    <w:p>
      <w:r>
        <w:t>Multi-temporal Landsat imagery (Landsat 4/5 TM for 1991, Landsat 7 ETM+ for 2001, Landsat 8 OLI for 2015, Landsat 8/9 OLI-2 for 2025) was acquired and pre-processed (radiometric calibration, atmospheric correction, geometric registration). A supervised Support Vector Machine (SVM) classifier was applied in ArcGIS Pro to derive three LULC classes: (1) Vegetation, (2) Water body, and (3) Built up/Bareland. All outputs were projected to UTM Zone 31N (WGS 1984) at 30 m spatial resolution.</w:t>
      </w:r>
    </w:p>
    <w:p>
      <w:pPr>
        <w:pStyle w:val="Heading2"/>
      </w:pPr>
      <w:r>
        <w:t>1.3 Accuracy Assessment</w:t>
      </w:r>
    </w:p>
    <w:p>
      <w:r>
        <w:t>Independent stratified-random validation points were used to generate confusion matrices for each site and time period. Overall Accuracy (OA), Kappa coefficient (κ), Producer's Accuracy (PA) and User's Accuracy (UA) were computed for all three classes following Congalton &amp; Green (2019).</w:t>
      </w:r>
    </w:p>
    <w:p>
      <w:pPr>
        <w:pStyle w:val="Heading2"/>
      </w:pPr>
      <w:r>
        <w:t>1.4 Change Detection</w:t>
      </w:r>
    </w:p>
    <w:p>
      <w:r>
        <w:t>Class-level area statistics (km²) were compared across the four time periods. Net area change (km²) and percentage change were calculated for inter-period intervals (1991–2001, 2001–2015, 2015–2025) and the full study period (1991–2025). Transition probability matrices were derived from pixel-to-pixel class conversions between consecutive classified maps.</w:t>
      </w:r>
    </w:p>
    <w:p>
      <w:pPr>
        <w:pStyle w:val="Heading2"/>
      </w:pPr>
      <w:r>
        <w:t>1.5 CA-Markov Future Prediction</w:t>
      </w:r>
    </w:p>
    <w:p>
      <w:r>
        <w:t>Transition probability matrices (TPMs) computed from the 2015–2025 period were used to project LULC to 2035 via a Cellular Automaton–Markov Chain (CA-Markov) approach. Each pixel in the 2025 map was stochastically assigned a 2035 class based on the TPM row corresponding to its current class, implemented with a fixed random seed (42) for reproducibility. The prediction was exported as a co-registered GeoTIFF raster.</w:t>
      </w:r>
    </w:p>
    <w:p>
      <w:pPr>
        <w:pStyle w:val="Heading2"/>
      </w:pPr>
      <w:r>
        <w:t>1.6 Landscape Metrics</w:t>
      </w:r>
    </w:p>
    <w:p>
      <w:r>
        <w:t>Landscape composition was quantified using the Shannon Diversity Index (SDI = −Σpᵢ ln pᵢ), where pᵢ is the proportion of the landscape in class i. Configuration was characterised by the number of discrete patches per class (four-connectivity labelling), the Largest Patch Index (LPI; % of landscape area occupied by the largest single patch), and mean patch size, computed for all time periods including the 2035 projection.</w:t>
      </w:r>
    </w:p>
    <w:p>
      <w:r>
        <w:br w:type="page"/>
      </w:r>
    </w:p>
    <w:p>
      <w:pPr>
        <w:pStyle w:val="Heading1"/>
      </w:pPr>
      <w:r>
        <w:t>2. Results</w:t>
      </w:r>
    </w:p>
    <w:p>
      <w:pPr>
        <w:pStyle w:val="Heading2"/>
      </w:pPr>
      <w:r>
        <w:t>2.1 Accuracy Assessment</w:t>
      </w:r>
    </w:p>
    <w:p>
      <w:r>
        <w:t>Accuracy assessment results across all four time periods and both sites are presented in the tables and confusion matrix figures below.</w:t>
      </w:r>
    </w:p>
    <w:p>
      <w:pPr>
        <w:pStyle w:val="Heading3"/>
      </w:pPr>
      <w:r>
        <w:t>2.1.1  Keta Lagoon Complex</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4" w:color="000000"/>
              <w:left w:val="single" w:sz="4" w:color="000000"/>
              <w:bottom w:val="single" w:sz="4" w:color="000000"/>
              <w:right w:val="single" w:sz="4" w:color="000000"/>
            </w:tcBorders>
          </w:tcPr>
          <w:p>
            <w:pPr>
              <w:jc w:val="center"/>
            </w:pPr>
            <w:r>
              <w:rPr>
                <w:b/>
              </w:rPr>
              <w:t>Year</w:t>
            </w:r>
          </w:p>
        </w:tc>
        <w:tc>
          <w:tcPr>
            <w:tcW w:type="dxa" w:w="1008"/>
            <w:tcBorders>
              <w:top w:val="single" w:sz="4" w:color="000000"/>
              <w:left w:val="single" w:sz="4" w:color="000000"/>
              <w:bottom w:val="single" w:sz="4" w:color="000000"/>
              <w:right w:val="single" w:sz="4" w:color="000000"/>
            </w:tcBorders>
          </w:tcPr>
          <w:p>
            <w:pPr>
              <w:jc w:val="center"/>
            </w:pPr>
            <w:r>
              <w:rPr>
                <w:b/>
              </w:rPr>
              <w:t>OA (%)</w:t>
            </w:r>
          </w:p>
        </w:tc>
        <w:tc>
          <w:tcPr>
            <w:tcW w:type="dxa" w:w="1008"/>
            <w:tcBorders>
              <w:top w:val="single" w:sz="4" w:color="000000"/>
              <w:left w:val="single" w:sz="4" w:color="000000"/>
              <w:bottom w:val="single" w:sz="4" w:color="000000"/>
              <w:right w:val="single" w:sz="4" w:color="000000"/>
            </w:tcBorders>
          </w:tcPr>
          <w:p>
            <w:pPr>
              <w:jc w:val="center"/>
            </w:pPr>
            <w:r>
              <w:rPr>
                <w:b/>
              </w:rPr>
              <w:t>κ</w:t>
            </w:r>
          </w:p>
        </w:tc>
        <w:tc>
          <w:tcPr>
            <w:tcW w:type="dxa" w:w="1008"/>
            <w:tcBorders>
              <w:top w:val="single" w:sz="4" w:color="000000"/>
              <w:left w:val="single" w:sz="4" w:color="000000"/>
              <w:bottom w:val="single" w:sz="4" w:color="000000"/>
              <w:right w:val="single" w:sz="4" w:color="000000"/>
            </w:tcBorders>
          </w:tcPr>
          <w:p>
            <w:pPr>
              <w:jc w:val="center"/>
            </w:pPr>
            <w:r>
              <w:rPr>
                <w:b/>
              </w:rPr>
              <w:t>PA Veg (%)</w:t>
            </w:r>
          </w:p>
        </w:tc>
        <w:tc>
          <w:tcPr>
            <w:tcW w:type="dxa" w:w="1008"/>
            <w:tcBorders>
              <w:top w:val="single" w:sz="4" w:color="000000"/>
              <w:left w:val="single" w:sz="4" w:color="000000"/>
              <w:bottom w:val="single" w:sz="4" w:color="000000"/>
              <w:right w:val="single" w:sz="4" w:color="000000"/>
            </w:tcBorders>
          </w:tcPr>
          <w:p>
            <w:pPr>
              <w:jc w:val="center"/>
            </w:pPr>
            <w:r>
              <w:rPr>
                <w:b/>
              </w:rPr>
              <w:t>UA Veg (%)</w:t>
            </w:r>
          </w:p>
        </w:tc>
        <w:tc>
          <w:tcPr>
            <w:tcW w:type="dxa" w:w="1008"/>
            <w:tcBorders>
              <w:top w:val="single" w:sz="4" w:color="000000"/>
              <w:left w:val="single" w:sz="4" w:color="000000"/>
              <w:bottom w:val="single" w:sz="4" w:color="000000"/>
              <w:right w:val="single" w:sz="4" w:color="000000"/>
            </w:tcBorders>
          </w:tcPr>
          <w:p>
            <w:pPr>
              <w:jc w:val="center"/>
            </w:pPr>
            <w:r>
              <w:rPr>
                <w:b/>
              </w:rPr>
              <w:t>PA Wat (%)</w:t>
            </w:r>
          </w:p>
        </w:tc>
        <w:tc>
          <w:tcPr>
            <w:tcW w:type="dxa" w:w="1008"/>
            <w:tcBorders>
              <w:top w:val="single" w:sz="4" w:color="000000"/>
              <w:left w:val="single" w:sz="4" w:color="000000"/>
              <w:bottom w:val="single" w:sz="4" w:color="000000"/>
              <w:right w:val="single" w:sz="4" w:color="000000"/>
            </w:tcBorders>
          </w:tcPr>
          <w:p>
            <w:pPr>
              <w:jc w:val="center"/>
            </w:pPr>
            <w:r>
              <w:rPr>
                <w:b/>
              </w:rPr>
              <w:t>UA Wat (%)</w:t>
            </w:r>
          </w:p>
        </w:tc>
        <w:tc>
          <w:tcPr>
            <w:tcW w:type="dxa" w:w="1008"/>
            <w:tcBorders>
              <w:top w:val="single" w:sz="4" w:color="000000"/>
              <w:left w:val="single" w:sz="4" w:color="000000"/>
              <w:bottom w:val="single" w:sz="4" w:color="000000"/>
              <w:right w:val="single" w:sz="4" w:color="000000"/>
            </w:tcBorders>
          </w:tcPr>
          <w:p>
            <w:pPr>
              <w:jc w:val="center"/>
            </w:pPr>
            <w:r>
              <w:rPr>
                <w:b/>
              </w:rPr>
              <w:t>PA BuBl (%)</w:t>
            </w:r>
          </w:p>
        </w:tc>
        <w:tc>
          <w:tcPr>
            <w:tcW w:type="dxa" w:w="1008"/>
            <w:tcBorders>
              <w:top w:val="single" w:sz="4" w:color="000000"/>
              <w:left w:val="single" w:sz="4" w:color="000000"/>
              <w:bottom w:val="single" w:sz="4" w:color="000000"/>
              <w:right w:val="single" w:sz="4" w:color="000000"/>
            </w:tcBorders>
          </w:tcPr>
          <w:p>
            <w:pPr>
              <w:jc w:val="center"/>
            </w:pPr>
            <w:r>
              <w:rPr>
                <w:b/>
              </w:rPr>
              <w:t>UA BuBl (%)</w:t>
            </w:r>
          </w:p>
        </w:tc>
      </w:tr>
      <w:tr>
        <w:tc>
          <w:tcPr>
            <w:tcW w:type="dxa" w:w="1008"/>
            <w:tcBorders>
              <w:top w:val="single" w:sz="4" w:color="000000"/>
              <w:left w:val="single" w:sz="4" w:color="000000"/>
              <w:bottom w:val="single" w:sz="4" w:color="000000"/>
              <w:right w:val="single" w:sz="4" w:color="000000"/>
            </w:tcBorders>
          </w:tcPr>
          <w:p>
            <w:pPr>
              <w:jc w:val="center"/>
            </w:pPr>
            <w:r>
              <w:t>1991</w:t>
            </w:r>
          </w:p>
        </w:tc>
        <w:tc>
          <w:tcPr>
            <w:tcW w:type="dxa" w:w="1008"/>
            <w:tcBorders>
              <w:top w:val="single" w:sz="4" w:color="000000"/>
              <w:left w:val="single" w:sz="4" w:color="000000"/>
              <w:bottom w:val="single" w:sz="4" w:color="000000"/>
              <w:right w:val="single" w:sz="4" w:color="000000"/>
            </w:tcBorders>
          </w:tcPr>
          <w:p>
            <w:pPr>
              <w:jc w:val="center"/>
            </w:pPr>
            <w:r>
              <w:t>81.4</w:t>
            </w:r>
          </w:p>
        </w:tc>
        <w:tc>
          <w:tcPr>
            <w:tcW w:type="dxa" w:w="1008"/>
            <w:tcBorders>
              <w:top w:val="single" w:sz="4" w:color="000000"/>
              <w:left w:val="single" w:sz="4" w:color="000000"/>
              <w:bottom w:val="single" w:sz="4" w:color="000000"/>
              <w:right w:val="single" w:sz="4" w:color="000000"/>
            </w:tcBorders>
          </w:tcPr>
          <w:p>
            <w:pPr>
              <w:jc w:val="center"/>
            </w:pPr>
            <w:r>
              <w:t>0.697</w:t>
            </w:r>
          </w:p>
        </w:tc>
        <w:tc>
          <w:tcPr>
            <w:tcW w:type="dxa" w:w="1008"/>
            <w:tcBorders>
              <w:top w:val="single" w:sz="4" w:color="000000"/>
              <w:left w:val="single" w:sz="4" w:color="000000"/>
              <w:bottom w:val="single" w:sz="4" w:color="000000"/>
              <w:right w:val="single" w:sz="4" w:color="000000"/>
            </w:tcBorders>
          </w:tcPr>
          <w:p>
            <w:pPr>
              <w:jc w:val="center"/>
            </w:pPr>
            <w:r>
              <w:t>96.3</w:t>
            </w:r>
          </w:p>
        </w:tc>
        <w:tc>
          <w:tcPr>
            <w:tcW w:type="dxa" w:w="1008"/>
            <w:tcBorders>
              <w:top w:val="single" w:sz="4" w:color="000000"/>
              <w:left w:val="single" w:sz="4" w:color="000000"/>
              <w:bottom w:val="single" w:sz="4" w:color="000000"/>
              <w:right w:val="single" w:sz="4" w:color="000000"/>
            </w:tcBorders>
          </w:tcPr>
          <w:p>
            <w:pPr>
              <w:jc w:val="center"/>
            </w:pPr>
            <w:r>
              <w:t>74.3</w:t>
            </w:r>
          </w:p>
        </w:tc>
        <w:tc>
          <w:tcPr>
            <w:tcW w:type="dxa" w:w="1008"/>
            <w:tcBorders>
              <w:top w:val="single" w:sz="4" w:color="000000"/>
              <w:left w:val="single" w:sz="4" w:color="000000"/>
              <w:bottom w:val="single" w:sz="4" w:color="000000"/>
              <w:right w:val="single" w:sz="4" w:color="000000"/>
            </w:tcBorders>
          </w:tcPr>
          <w:p>
            <w:pPr>
              <w:jc w:val="center"/>
            </w:pPr>
            <w:r>
              <w:t>83.3</w:t>
            </w:r>
          </w:p>
        </w:tc>
        <w:tc>
          <w:tcPr>
            <w:tcW w:type="dxa" w:w="1008"/>
            <w:tcBorders>
              <w:top w:val="single" w:sz="4" w:color="000000"/>
              <w:left w:val="single" w:sz="4" w:color="000000"/>
              <w:bottom w:val="single" w:sz="4" w:color="000000"/>
              <w:right w:val="single" w:sz="4" w:color="000000"/>
            </w:tcBorders>
          </w:tcPr>
          <w:p>
            <w:pPr>
              <w:jc w:val="center"/>
            </w:pPr>
            <w:r>
              <w:t>100.0</w:t>
            </w:r>
          </w:p>
        </w:tc>
        <w:tc>
          <w:tcPr>
            <w:tcW w:type="dxa" w:w="1008"/>
            <w:tcBorders>
              <w:top w:val="single" w:sz="4" w:color="000000"/>
              <w:left w:val="single" w:sz="4" w:color="000000"/>
              <w:bottom w:val="single" w:sz="4" w:color="000000"/>
              <w:right w:val="single" w:sz="4" w:color="000000"/>
            </w:tcBorders>
          </w:tcPr>
          <w:p>
            <w:pPr>
              <w:jc w:val="center"/>
            </w:pPr>
            <w:r>
              <w:t>50.0</w:t>
            </w:r>
          </w:p>
        </w:tc>
        <w:tc>
          <w:tcPr>
            <w:tcW w:type="dxa" w:w="1008"/>
            <w:tcBorders>
              <w:top w:val="single" w:sz="4" w:color="000000"/>
              <w:left w:val="single" w:sz="4" w:color="000000"/>
              <w:bottom w:val="single" w:sz="4" w:color="000000"/>
              <w:right w:val="single" w:sz="4" w:color="000000"/>
            </w:tcBorders>
          </w:tcPr>
          <w:p>
            <w:pPr>
              <w:jc w:val="center"/>
            </w:pPr>
            <w:r>
              <w:t>77.8</w:t>
            </w:r>
          </w:p>
        </w:tc>
      </w:tr>
      <w:tr>
        <w:tc>
          <w:tcPr>
            <w:tcW w:type="dxa" w:w="1008"/>
            <w:tcBorders>
              <w:top w:val="single" w:sz="4" w:color="000000"/>
              <w:left w:val="single" w:sz="4" w:color="000000"/>
              <w:bottom w:val="single" w:sz="4" w:color="000000"/>
              <w:right w:val="single" w:sz="4" w:color="000000"/>
            </w:tcBorders>
          </w:tcPr>
          <w:p>
            <w:pPr>
              <w:jc w:val="center"/>
            </w:pPr>
            <w:r>
              <w:t>2001</w:t>
            </w:r>
          </w:p>
        </w:tc>
        <w:tc>
          <w:tcPr>
            <w:tcW w:type="dxa" w:w="1008"/>
            <w:tcBorders>
              <w:top w:val="single" w:sz="4" w:color="000000"/>
              <w:left w:val="single" w:sz="4" w:color="000000"/>
              <w:bottom w:val="single" w:sz="4" w:color="000000"/>
              <w:right w:val="single" w:sz="4" w:color="000000"/>
            </w:tcBorders>
          </w:tcPr>
          <w:p>
            <w:pPr>
              <w:jc w:val="center"/>
            </w:pPr>
            <w:r>
              <w:t>86.9</w:t>
            </w:r>
          </w:p>
        </w:tc>
        <w:tc>
          <w:tcPr>
            <w:tcW w:type="dxa" w:w="1008"/>
            <w:tcBorders>
              <w:top w:val="single" w:sz="4" w:color="000000"/>
              <w:left w:val="single" w:sz="4" w:color="000000"/>
              <w:bottom w:val="single" w:sz="4" w:color="000000"/>
              <w:right w:val="single" w:sz="4" w:color="000000"/>
            </w:tcBorders>
          </w:tcPr>
          <w:p>
            <w:pPr>
              <w:jc w:val="center"/>
            </w:pPr>
            <w:r>
              <w:t>0.792</w:t>
            </w:r>
          </w:p>
        </w:tc>
        <w:tc>
          <w:tcPr>
            <w:tcW w:type="dxa" w:w="1008"/>
            <w:tcBorders>
              <w:top w:val="single" w:sz="4" w:color="000000"/>
              <w:left w:val="single" w:sz="4" w:color="000000"/>
              <w:bottom w:val="single" w:sz="4" w:color="000000"/>
              <w:right w:val="single" w:sz="4" w:color="000000"/>
            </w:tcBorders>
          </w:tcPr>
          <w:p>
            <w:pPr>
              <w:jc w:val="center"/>
            </w:pPr>
            <w:r>
              <w:t>92.6</w:t>
            </w:r>
          </w:p>
        </w:tc>
        <w:tc>
          <w:tcPr>
            <w:tcW w:type="dxa" w:w="1008"/>
            <w:tcBorders>
              <w:top w:val="single" w:sz="4" w:color="000000"/>
              <w:left w:val="single" w:sz="4" w:color="000000"/>
              <w:bottom w:val="single" w:sz="4" w:color="000000"/>
              <w:right w:val="single" w:sz="4" w:color="000000"/>
            </w:tcBorders>
          </w:tcPr>
          <w:p>
            <w:pPr>
              <w:jc w:val="center"/>
            </w:pPr>
            <w:r>
              <w:t>80.6</w:t>
            </w:r>
          </w:p>
        </w:tc>
        <w:tc>
          <w:tcPr>
            <w:tcW w:type="dxa" w:w="1008"/>
            <w:tcBorders>
              <w:top w:val="single" w:sz="4" w:color="000000"/>
              <w:left w:val="single" w:sz="4" w:color="000000"/>
              <w:bottom w:val="single" w:sz="4" w:color="000000"/>
              <w:right w:val="single" w:sz="4" w:color="000000"/>
            </w:tcBorders>
          </w:tcPr>
          <w:p>
            <w:pPr>
              <w:jc w:val="center"/>
            </w:pPr>
            <w:r>
              <w:t>92.3</w:t>
            </w:r>
          </w:p>
        </w:tc>
        <w:tc>
          <w:tcPr>
            <w:tcW w:type="dxa" w:w="1008"/>
            <w:tcBorders>
              <w:top w:val="single" w:sz="4" w:color="000000"/>
              <w:left w:val="single" w:sz="4" w:color="000000"/>
              <w:bottom w:val="single" w:sz="4" w:color="000000"/>
              <w:right w:val="single" w:sz="4" w:color="000000"/>
            </w:tcBorders>
          </w:tcPr>
          <w:p>
            <w:pPr>
              <w:jc w:val="center"/>
            </w:pPr>
            <w:r>
              <w:t>100.0</w:t>
            </w:r>
          </w:p>
        </w:tc>
        <w:tc>
          <w:tcPr>
            <w:tcW w:type="dxa" w:w="1008"/>
            <w:tcBorders>
              <w:top w:val="single" w:sz="4" w:color="000000"/>
              <w:left w:val="single" w:sz="4" w:color="000000"/>
              <w:bottom w:val="single" w:sz="4" w:color="000000"/>
              <w:right w:val="single" w:sz="4" w:color="000000"/>
            </w:tcBorders>
          </w:tcPr>
          <w:p>
            <w:pPr>
              <w:jc w:val="center"/>
            </w:pPr>
            <w:r>
              <w:t>76.2</w:t>
            </w:r>
          </w:p>
        </w:tc>
        <w:tc>
          <w:tcPr>
            <w:tcW w:type="dxa" w:w="1008"/>
            <w:tcBorders>
              <w:top w:val="single" w:sz="4" w:color="000000"/>
              <w:left w:val="single" w:sz="4" w:color="000000"/>
              <w:bottom w:val="single" w:sz="4" w:color="000000"/>
              <w:right w:val="single" w:sz="4" w:color="000000"/>
            </w:tcBorders>
          </w:tcPr>
          <w:p>
            <w:pPr>
              <w:jc w:val="center"/>
            </w:pPr>
            <w:r>
              <w:t>88.9</w:t>
            </w:r>
          </w:p>
        </w:tc>
      </w:tr>
      <w:tr>
        <w:tc>
          <w:tcPr>
            <w:tcW w:type="dxa" w:w="1008"/>
            <w:tcBorders>
              <w:top w:val="single" w:sz="4" w:color="000000"/>
              <w:left w:val="single" w:sz="4" w:color="000000"/>
              <w:bottom w:val="single" w:sz="4" w:color="000000"/>
              <w:right w:val="single" w:sz="4" w:color="000000"/>
            </w:tcBorders>
          </w:tcPr>
          <w:p>
            <w:pPr>
              <w:jc w:val="center"/>
            </w:pPr>
            <w:r>
              <w:t>2015</w:t>
            </w:r>
          </w:p>
        </w:tc>
        <w:tc>
          <w:tcPr>
            <w:tcW w:type="dxa" w:w="1008"/>
            <w:tcBorders>
              <w:top w:val="single" w:sz="4" w:color="000000"/>
              <w:left w:val="single" w:sz="4" w:color="000000"/>
              <w:bottom w:val="single" w:sz="4" w:color="000000"/>
              <w:right w:val="single" w:sz="4" w:color="000000"/>
            </w:tcBorders>
          </w:tcPr>
          <w:p>
            <w:pPr>
              <w:jc w:val="center"/>
            </w:pPr>
            <w:r>
              <w:t>83.3</w:t>
            </w:r>
          </w:p>
        </w:tc>
        <w:tc>
          <w:tcPr>
            <w:tcW w:type="dxa" w:w="1008"/>
            <w:tcBorders>
              <w:top w:val="single" w:sz="4" w:color="000000"/>
              <w:left w:val="single" w:sz="4" w:color="000000"/>
              <w:bottom w:val="single" w:sz="4" w:color="000000"/>
              <w:right w:val="single" w:sz="4" w:color="000000"/>
            </w:tcBorders>
          </w:tcPr>
          <w:p>
            <w:pPr>
              <w:jc w:val="center"/>
            </w:pPr>
            <w:r>
              <w:t>0.729</w:t>
            </w:r>
          </w:p>
        </w:tc>
        <w:tc>
          <w:tcPr>
            <w:tcW w:type="dxa" w:w="1008"/>
            <w:tcBorders>
              <w:top w:val="single" w:sz="4" w:color="000000"/>
              <w:left w:val="single" w:sz="4" w:color="000000"/>
              <w:bottom w:val="single" w:sz="4" w:color="000000"/>
              <w:right w:val="single" w:sz="4" w:color="000000"/>
            </w:tcBorders>
          </w:tcPr>
          <w:p>
            <w:pPr>
              <w:jc w:val="center"/>
            </w:pPr>
            <w:r>
              <w:t>93.1</w:t>
            </w:r>
          </w:p>
        </w:tc>
        <w:tc>
          <w:tcPr>
            <w:tcW w:type="dxa" w:w="1008"/>
            <w:tcBorders>
              <w:top w:val="single" w:sz="4" w:color="000000"/>
              <w:left w:val="single" w:sz="4" w:color="000000"/>
              <w:bottom w:val="single" w:sz="4" w:color="000000"/>
              <w:right w:val="single" w:sz="4" w:color="000000"/>
            </w:tcBorders>
          </w:tcPr>
          <w:p>
            <w:pPr>
              <w:jc w:val="center"/>
            </w:pPr>
            <w:r>
              <w:t>79.4</w:t>
            </w:r>
          </w:p>
        </w:tc>
        <w:tc>
          <w:tcPr>
            <w:tcW w:type="dxa" w:w="1008"/>
            <w:tcBorders>
              <w:top w:val="single" w:sz="4" w:color="000000"/>
              <w:left w:val="single" w:sz="4" w:color="000000"/>
              <w:bottom w:val="single" w:sz="4" w:color="000000"/>
              <w:right w:val="single" w:sz="4" w:color="000000"/>
            </w:tcBorders>
          </w:tcPr>
          <w:p>
            <w:pPr>
              <w:jc w:val="center"/>
            </w:pPr>
            <w:r>
              <w:t>85.7</w:t>
            </w:r>
          </w:p>
        </w:tc>
        <w:tc>
          <w:tcPr>
            <w:tcW w:type="dxa" w:w="1008"/>
            <w:tcBorders>
              <w:top w:val="single" w:sz="4" w:color="000000"/>
              <w:left w:val="single" w:sz="4" w:color="000000"/>
              <w:bottom w:val="single" w:sz="4" w:color="000000"/>
              <w:right w:val="single" w:sz="4" w:color="000000"/>
            </w:tcBorders>
          </w:tcPr>
          <w:p>
            <w:pPr>
              <w:jc w:val="center"/>
            </w:pPr>
            <w:r>
              <w:t>92.3</w:t>
            </w:r>
          </w:p>
        </w:tc>
        <w:tc>
          <w:tcPr>
            <w:tcW w:type="dxa" w:w="1008"/>
            <w:tcBorders>
              <w:top w:val="single" w:sz="4" w:color="000000"/>
              <w:left w:val="single" w:sz="4" w:color="000000"/>
              <w:bottom w:val="single" w:sz="4" w:color="000000"/>
              <w:right w:val="single" w:sz="4" w:color="000000"/>
            </w:tcBorders>
          </w:tcPr>
          <w:p>
            <w:pPr>
              <w:jc w:val="center"/>
            </w:pPr>
            <w:r>
              <w:t>64.7</w:t>
            </w:r>
          </w:p>
        </w:tc>
        <w:tc>
          <w:tcPr>
            <w:tcW w:type="dxa" w:w="1008"/>
            <w:tcBorders>
              <w:top w:val="single" w:sz="4" w:color="000000"/>
              <w:left w:val="single" w:sz="4" w:color="000000"/>
              <w:bottom w:val="single" w:sz="4" w:color="000000"/>
              <w:right w:val="single" w:sz="4" w:color="000000"/>
            </w:tcBorders>
          </w:tcPr>
          <w:p>
            <w:pPr>
              <w:jc w:val="center"/>
            </w:pPr>
            <w:r>
              <w:t>84.6</w:t>
            </w:r>
          </w:p>
        </w:tc>
      </w:tr>
      <w:tr>
        <w:tc>
          <w:tcPr>
            <w:tcW w:type="dxa" w:w="1008"/>
            <w:tcBorders>
              <w:top w:val="single" w:sz="4" w:color="000000"/>
              <w:left w:val="single" w:sz="4" w:color="000000"/>
              <w:bottom w:val="single" w:sz="4" w:color="000000"/>
              <w:right w:val="single" w:sz="4" w:color="000000"/>
            </w:tcBorders>
          </w:tcPr>
          <w:p>
            <w:pPr>
              <w:jc w:val="center"/>
            </w:pPr>
            <w:r>
              <w:t>2025</w:t>
            </w:r>
          </w:p>
        </w:tc>
        <w:tc>
          <w:tcPr>
            <w:tcW w:type="dxa" w:w="1008"/>
            <w:tcBorders>
              <w:top w:val="single" w:sz="4" w:color="000000"/>
              <w:left w:val="single" w:sz="4" w:color="000000"/>
              <w:bottom w:val="single" w:sz="4" w:color="000000"/>
              <w:right w:val="single" w:sz="4" w:color="000000"/>
            </w:tcBorders>
          </w:tcPr>
          <w:p>
            <w:pPr>
              <w:jc w:val="center"/>
            </w:pPr>
            <w:r>
              <w:t>83.6</w:t>
            </w:r>
          </w:p>
        </w:tc>
        <w:tc>
          <w:tcPr>
            <w:tcW w:type="dxa" w:w="1008"/>
            <w:tcBorders>
              <w:top w:val="single" w:sz="4" w:color="000000"/>
              <w:left w:val="single" w:sz="4" w:color="000000"/>
              <w:bottom w:val="single" w:sz="4" w:color="000000"/>
              <w:right w:val="single" w:sz="4" w:color="000000"/>
            </w:tcBorders>
          </w:tcPr>
          <w:p>
            <w:pPr>
              <w:jc w:val="center"/>
            </w:pPr>
            <w:r>
              <w:t>0.751</w:t>
            </w:r>
          </w:p>
        </w:tc>
        <w:tc>
          <w:tcPr>
            <w:tcW w:type="dxa" w:w="1008"/>
            <w:tcBorders>
              <w:top w:val="single" w:sz="4" w:color="000000"/>
              <w:left w:val="single" w:sz="4" w:color="000000"/>
              <w:bottom w:val="single" w:sz="4" w:color="000000"/>
              <w:right w:val="single" w:sz="4" w:color="000000"/>
            </w:tcBorders>
          </w:tcPr>
          <w:p>
            <w:pPr>
              <w:jc w:val="center"/>
            </w:pPr>
            <w:r>
              <w:t>81.8</w:t>
            </w:r>
          </w:p>
        </w:tc>
        <w:tc>
          <w:tcPr>
            <w:tcW w:type="dxa" w:w="1008"/>
            <w:tcBorders>
              <w:top w:val="single" w:sz="4" w:color="000000"/>
              <w:left w:val="single" w:sz="4" w:color="000000"/>
              <w:bottom w:val="single" w:sz="4" w:color="000000"/>
              <w:right w:val="single" w:sz="4" w:color="000000"/>
            </w:tcBorders>
          </w:tcPr>
          <w:p>
            <w:pPr>
              <w:jc w:val="center"/>
            </w:pPr>
            <w:r>
              <w:t>81.8</w:t>
            </w:r>
          </w:p>
        </w:tc>
        <w:tc>
          <w:tcPr>
            <w:tcW w:type="dxa" w:w="1008"/>
            <w:tcBorders>
              <w:top w:val="single" w:sz="4" w:color="000000"/>
              <w:left w:val="single" w:sz="4" w:color="000000"/>
              <w:bottom w:val="single" w:sz="4" w:color="000000"/>
              <w:right w:val="single" w:sz="4" w:color="000000"/>
            </w:tcBorders>
          </w:tcPr>
          <w:p>
            <w:pPr>
              <w:jc w:val="center"/>
            </w:pPr>
            <w:r>
              <w:t>76.5</w:t>
            </w:r>
          </w:p>
        </w:tc>
        <w:tc>
          <w:tcPr>
            <w:tcW w:type="dxa" w:w="1008"/>
            <w:tcBorders>
              <w:top w:val="single" w:sz="4" w:color="000000"/>
              <w:left w:val="single" w:sz="4" w:color="000000"/>
              <w:bottom w:val="single" w:sz="4" w:color="000000"/>
              <w:right w:val="single" w:sz="4" w:color="000000"/>
            </w:tcBorders>
          </w:tcPr>
          <w:p>
            <w:pPr>
              <w:jc w:val="center"/>
            </w:pPr>
            <w:r>
              <w:t>92.9</w:t>
            </w:r>
          </w:p>
        </w:tc>
        <w:tc>
          <w:tcPr>
            <w:tcW w:type="dxa" w:w="1008"/>
            <w:tcBorders>
              <w:top w:val="single" w:sz="4" w:color="000000"/>
              <w:left w:val="single" w:sz="4" w:color="000000"/>
              <w:bottom w:val="single" w:sz="4" w:color="000000"/>
              <w:right w:val="single" w:sz="4" w:color="000000"/>
            </w:tcBorders>
          </w:tcPr>
          <w:p>
            <w:pPr>
              <w:jc w:val="center"/>
            </w:pPr>
            <w:r>
              <w:t>90.9</w:t>
            </w:r>
          </w:p>
        </w:tc>
        <w:tc>
          <w:tcPr>
            <w:tcW w:type="dxa" w:w="1008"/>
            <w:tcBorders>
              <w:top w:val="single" w:sz="4" w:color="000000"/>
              <w:left w:val="single" w:sz="4" w:color="000000"/>
              <w:bottom w:val="single" w:sz="4" w:color="000000"/>
              <w:right w:val="single" w:sz="4" w:color="000000"/>
            </w:tcBorders>
          </w:tcPr>
          <w:p>
            <w:pPr>
              <w:jc w:val="center"/>
            </w:pPr>
            <w:r>
              <w:t>80.0</w:t>
            </w:r>
          </w:p>
        </w:tc>
      </w:tr>
    </w:tbl>
    <w:p/>
    <w:p>
      <w:r>
        <w:rPr>
          <w:i/>
          <w:sz w:val="18"/>
        </w:rPr>
        <w:t>Table 2.1: Accuracy assessment for Keta Lagoon Complex (PA = Producer's Accuracy, UA = User's Accuracy, BuBl = Built up/Bareland).</w:t>
      </w:r>
    </w:p>
    <w:p/>
    <w:p>
      <w:pPr>
        <w:jc w:val="center"/>
      </w:pPr>
      <w:r>
        <w:drawing>
          <wp:inline xmlns:a="http://schemas.openxmlformats.org/drawingml/2006/main" xmlns:pic="http://schemas.openxmlformats.org/drawingml/2006/picture">
            <wp:extent cx="3240000" cy="2771261"/>
            <wp:docPr id="1" name="Picture 1"/>
            <wp:cNvGraphicFramePr>
              <a:graphicFrameLocks noChangeAspect="1"/>
            </wp:cNvGraphicFramePr>
            <a:graphic>
              <a:graphicData uri="http://schemas.openxmlformats.org/drawingml/2006/picture">
                <pic:pic>
                  <pic:nvPicPr>
                    <pic:cNvPr id="0" name="keta_confusion_1991.png"/>
                    <pic:cNvPicPr/>
                  </pic:nvPicPr>
                  <pic:blipFill>
                    <a:blip r:embed="rId9"/>
                    <a:stretch>
                      <a:fillRect/>
                    </a:stretch>
                  </pic:blipFill>
                  <pic:spPr>
                    <a:xfrm>
                      <a:off x="0" y="0"/>
                      <a:ext cx="3240000" cy="2771261"/>
                    </a:xfrm>
                    <a:prstGeom prst="rect"/>
                  </pic:spPr>
                </pic:pic>
              </a:graphicData>
            </a:graphic>
          </wp:inline>
        </w:drawing>
      </w:r>
    </w:p>
    <w:p>
      <w:pPr>
        <w:jc w:val="center"/>
      </w:pPr>
      <w:r>
        <w:rPr>
          <w:i/>
          <w:sz w:val="18"/>
        </w:rPr>
        <w:t>Figure: Keta Lagoon Complex 1991 confusion matrix heatmap.</w:t>
      </w:r>
    </w:p>
    <w:p/>
    <w:p>
      <w:pPr>
        <w:jc w:val="center"/>
      </w:pPr>
      <w:r>
        <w:drawing>
          <wp:inline xmlns:a="http://schemas.openxmlformats.org/drawingml/2006/main" xmlns:pic="http://schemas.openxmlformats.org/drawingml/2006/picture">
            <wp:extent cx="3240000" cy="2771261"/>
            <wp:docPr id="2" name="Picture 2"/>
            <wp:cNvGraphicFramePr>
              <a:graphicFrameLocks noChangeAspect="1"/>
            </wp:cNvGraphicFramePr>
            <a:graphic>
              <a:graphicData uri="http://schemas.openxmlformats.org/drawingml/2006/picture">
                <pic:pic>
                  <pic:nvPicPr>
                    <pic:cNvPr id="0" name="keta_confusion_2001.png"/>
                    <pic:cNvPicPr/>
                  </pic:nvPicPr>
                  <pic:blipFill>
                    <a:blip r:embed="rId10"/>
                    <a:stretch>
                      <a:fillRect/>
                    </a:stretch>
                  </pic:blipFill>
                  <pic:spPr>
                    <a:xfrm>
                      <a:off x="0" y="0"/>
                      <a:ext cx="3240000" cy="2771261"/>
                    </a:xfrm>
                    <a:prstGeom prst="rect"/>
                  </pic:spPr>
                </pic:pic>
              </a:graphicData>
            </a:graphic>
          </wp:inline>
        </w:drawing>
      </w:r>
    </w:p>
    <w:p>
      <w:pPr>
        <w:jc w:val="center"/>
      </w:pPr>
      <w:r>
        <w:rPr>
          <w:i/>
          <w:sz w:val="18"/>
        </w:rPr>
        <w:t>Figure: Keta Lagoon Complex 2001 confusion matrix heatmap.</w:t>
      </w:r>
    </w:p>
    <w:p/>
    <w:p>
      <w:pPr>
        <w:jc w:val="center"/>
      </w:pPr>
      <w:r>
        <w:drawing>
          <wp:inline xmlns:a="http://schemas.openxmlformats.org/drawingml/2006/main" xmlns:pic="http://schemas.openxmlformats.org/drawingml/2006/picture">
            <wp:extent cx="3240000" cy="2771261"/>
            <wp:docPr id="3" name="Picture 3"/>
            <wp:cNvGraphicFramePr>
              <a:graphicFrameLocks noChangeAspect="1"/>
            </wp:cNvGraphicFramePr>
            <a:graphic>
              <a:graphicData uri="http://schemas.openxmlformats.org/drawingml/2006/picture">
                <pic:pic>
                  <pic:nvPicPr>
                    <pic:cNvPr id="0" name="keta_confusion_2015.png"/>
                    <pic:cNvPicPr/>
                  </pic:nvPicPr>
                  <pic:blipFill>
                    <a:blip r:embed="rId11"/>
                    <a:stretch>
                      <a:fillRect/>
                    </a:stretch>
                  </pic:blipFill>
                  <pic:spPr>
                    <a:xfrm>
                      <a:off x="0" y="0"/>
                      <a:ext cx="3240000" cy="2771261"/>
                    </a:xfrm>
                    <a:prstGeom prst="rect"/>
                  </pic:spPr>
                </pic:pic>
              </a:graphicData>
            </a:graphic>
          </wp:inline>
        </w:drawing>
      </w:r>
    </w:p>
    <w:p>
      <w:pPr>
        <w:jc w:val="center"/>
      </w:pPr>
      <w:r>
        <w:rPr>
          <w:i/>
          <w:sz w:val="18"/>
        </w:rPr>
        <w:t>Figure: Keta Lagoon Complex 2015 confusion matrix heatmap.</w:t>
      </w:r>
    </w:p>
    <w:p/>
    <w:p>
      <w:pPr>
        <w:jc w:val="center"/>
      </w:pPr>
      <w:r>
        <w:drawing>
          <wp:inline xmlns:a="http://schemas.openxmlformats.org/drawingml/2006/main" xmlns:pic="http://schemas.openxmlformats.org/drawingml/2006/picture">
            <wp:extent cx="3240000" cy="2707736"/>
            <wp:docPr id="4" name="Picture 4"/>
            <wp:cNvGraphicFramePr>
              <a:graphicFrameLocks noChangeAspect="1"/>
            </wp:cNvGraphicFramePr>
            <a:graphic>
              <a:graphicData uri="http://schemas.openxmlformats.org/drawingml/2006/picture">
                <pic:pic>
                  <pic:nvPicPr>
                    <pic:cNvPr id="0" name="keta_confusion_2025.png"/>
                    <pic:cNvPicPr/>
                  </pic:nvPicPr>
                  <pic:blipFill>
                    <a:blip r:embed="rId12"/>
                    <a:stretch>
                      <a:fillRect/>
                    </a:stretch>
                  </pic:blipFill>
                  <pic:spPr>
                    <a:xfrm>
                      <a:off x="0" y="0"/>
                      <a:ext cx="3240000" cy="2707736"/>
                    </a:xfrm>
                    <a:prstGeom prst="rect"/>
                  </pic:spPr>
                </pic:pic>
              </a:graphicData>
            </a:graphic>
          </wp:inline>
        </w:drawing>
      </w:r>
    </w:p>
    <w:p>
      <w:pPr>
        <w:jc w:val="center"/>
      </w:pPr>
      <w:r>
        <w:rPr>
          <w:i/>
          <w:sz w:val="18"/>
        </w:rPr>
        <w:t>Figure: Keta Lagoon Complex 2025 confusion matrix heatmap.</w:t>
      </w:r>
    </w:p>
    <w:p/>
    <w:p>
      <w:pPr>
        <w:pStyle w:val="Heading3"/>
      </w:pPr>
      <w:r>
        <w:t>2.1.2  Muni-Pomadze</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4" w:color="000000"/>
              <w:left w:val="single" w:sz="4" w:color="000000"/>
              <w:bottom w:val="single" w:sz="4" w:color="000000"/>
              <w:right w:val="single" w:sz="4" w:color="000000"/>
            </w:tcBorders>
          </w:tcPr>
          <w:p>
            <w:pPr>
              <w:jc w:val="center"/>
            </w:pPr>
            <w:r>
              <w:rPr>
                <w:b/>
              </w:rPr>
              <w:t>Year</w:t>
            </w:r>
          </w:p>
        </w:tc>
        <w:tc>
          <w:tcPr>
            <w:tcW w:type="dxa" w:w="1008"/>
            <w:tcBorders>
              <w:top w:val="single" w:sz="4" w:color="000000"/>
              <w:left w:val="single" w:sz="4" w:color="000000"/>
              <w:bottom w:val="single" w:sz="4" w:color="000000"/>
              <w:right w:val="single" w:sz="4" w:color="000000"/>
            </w:tcBorders>
          </w:tcPr>
          <w:p>
            <w:pPr>
              <w:jc w:val="center"/>
            </w:pPr>
            <w:r>
              <w:rPr>
                <w:b/>
              </w:rPr>
              <w:t>OA (%)</w:t>
            </w:r>
          </w:p>
        </w:tc>
        <w:tc>
          <w:tcPr>
            <w:tcW w:type="dxa" w:w="1008"/>
            <w:tcBorders>
              <w:top w:val="single" w:sz="4" w:color="000000"/>
              <w:left w:val="single" w:sz="4" w:color="000000"/>
              <w:bottom w:val="single" w:sz="4" w:color="000000"/>
              <w:right w:val="single" w:sz="4" w:color="000000"/>
            </w:tcBorders>
          </w:tcPr>
          <w:p>
            <w:pPr>
              <w:jc w:val="center"/>
            </w:pPr>
            <w:r>
              <w:rPr>
                <w:b/>
              </w:rPr>
              <w:t>κ</w:t>
            </w:r>
          </w:p>
        </w:tc>
        <w:tc>
          <w:tcPr>
            <w:tcW w:type="dxa" w:w="1008"/>
            <w:tcBorders>
              <w:top w:val="single" w:sz="4" w:color="000000"/>
              <w:left w:val="single" w:sz="4" w:color="000000"/>
              <w:bottom w:val="single" w:sz="4" w:color="000000"/>
              <w:right w:val="single" w:sz="4" w:color="000000"/>
            </w:tcBorders>
          </w:tcPr>
          <w:p>
            <w:pPr>
              <w:jc w:val="center"/>
            </w:pPr>
            <w:r>
              <w:rPr>
                <w:b/>
              </w:rPr>
              <w:t>PA Veg (%)</w:t>
            </w:r>
          </w:p>
        </w:tc>
        <w:tc>
          <w:tcPr>
            <w:tcW w:type="dxa" w:w="1008"/>
            <w:tcBorders>
              <w:top w:val="single" w:sz="4" w:color="000000"/>
              <w:left w:val="single" w:sz="4" w:color="000000"/>
              <w:bottom w:val="single" w:sz="4" w:color="000000"/>
              <w:right w:val="single" w:sz="4" w:color="000000"/>
            </w:tcBorders>
          </w:tcPr>
          <w:p>
            <w:pPr>
              <w:jc w:val="center"/>
            </w:pPr>
            <w:r>
              <w:rPr>
                <w:b/>
              </w:rPr>
              <w:t>UA Veg (%)</w:t>
            </w:r>
          </w:p>
        </w:tc>
        <w:tc>
          <w:tcPr>
            <w:tcW w:type="dxa" w:w="1008"/>
            <w:tcBorders>
              <w:top w:val="single" w:sz="4" w:color="000000"/>
              <w:left w:val="single" w:sz="4" w:color="000000"/>
              <w:bottom w:val="single" w:sz="4" w:color="000000"/>
              <w:right w:val="single" w:sz="4" w:color="000000"/>
            </w:tcBorders>
          </w:tcPr>
          <w:p>
            <w:pPr>
              <w:jc w:val="center"/>
            </w:pPr>
            <w:r>
              <w:rPr>
                <w:b/>
              </w:rPr>
              <w:t>PA Wat (%)</w:t>
            </w:r>
          </w:p>
        </w:tc>
        <w:tc>
          <w:tcPr>
            <w:tcW w:type="dxa" w:w="1008"/>
            <w:tcBorders>
              <w:top w:val="single" w:sz="4" w:color="000000"/>
              <w:left w:val="single" w:sz="4" w:color="000000"/>
              <w:bottom w:val="single" w:sz="4" w:color="000000"/>
              <w:right w:val="single" w:sz="4" w:color="000000"/>
            </w:tcBorders>
          </w:tcPr>
          <w:p>
            <w:pPr>
              <w:jc w:val="center"/>
            </w:pPr>
            <w:r>
              <w:rPr>
                <w:b/>
              </w:rPr>
              <w:t>UA Wat (%)</w:t>
            </w:r>
          </w:p>
        </w:tc>
        <w:tc>
          <w:tcPr>
            <w:tcW w:type="dxa" w:w="1008"/>
            <w:tcBorders>
              <w:top w:val="single" w:sz="4" w:color="000000"/>
              <w:left w:val="single" w:sz="4" w:color="000000"/>
              <w:bottom w:val="single" w:sz="4" w:color="000000"/>
              <w:right w:val="single" w:sz="4" w:color="000000"/>
            </w:tcBorders>
          </w:tcPr>
          <w:p>
            <w:pPr>
              <w:jc w:val="center"/>
            </w:pPr>
            <w:r>
              <w:rPr>
                <w:b/>
              </w:rPr>
              <w:t>PA BuBl (%)</w:t>
            </w:r>
          </w:p>
        </w:tc>
        <w:tc>
          <w:tcPr>
            <w:tcW w:type="dxa" w:w="1008"/>
            <w:tcBorders>
              <w:top w:val="single" w:sz="4" w:color="000000"/>
              <w:left w:val="single" w:sz="4" w:color="000000"/>
              <w:bottom w:val="single" w:sz="4" w:color="000000"/>
              <w:right w:val="single" w:sz="4" w:color="000000"/>
            </w:tcBorders>
          </w:tcPr>
          <w:p>
            <w:pPr>
              <w:jc w:val="center"/>
            </w:pPr>
            <w:r>
              <w:rPr>
                <w:b/>
              </w:rPr>
              <w:t>UA BuBl (%)</w:t>
            </w:r>
          </w:p>
        </w:tc>
      </w:tr>
      <w:tr>
        <w:tc>
          <w:tcPr>
            <w:tcW w:type="dxa" w:w="1008"/>
            <w:tcBorders>
              <w:top w:val="single" w:sz="4" w:color="000000"/>
              <w:left w:val="single" w:sz="4" w:color="000000"/>
              <w:bottom w:val="single" w:sz="4" w:color="000000"/>
              <w:right w:val="single" w:sz="4" w:color="000000"/>
            </w:tcBorders>
          </w:tcPr>
          <w:p>
            <w:pPr>
              <w:jc w:val="center"/>
            </w:pPr>
            <w:r>
              <w:t>1991</w:t>
            </w:r>
          </w:p>
        </w:tc>
        <w:tc>
          <w:tcPr>
            <w:tcW w:type="dxa" w:w="1008"/>
            <w:tcBorders>
              <w:top w:val="single" w:sz="4" w:color="000000"/>
              <w:left w:val="single" w:sz="4" w:color="000000"/>
              <w:bottom w:val="single" w:sz="4" w:color="000000"/>
              <w:right w:val="single" w:sz="4" w:color="000000"/>
            </w:tcBorders>
          </w:tcPr>
          <w:p>
            <w:pPr>
              <w:jc w:val="center"/>
            </w:pPr>
            <w:r>
              <w:t>83.3</w:t>
            </w:r>
          </w:p>
        </w:tc>
        <w:tc>
          <w:tcPr>
            <w:tcW w:type="dxa" w:w="1008"/>
            <w:tcBorders>
              <w:top w:val="single" w:sz="4" w:color="000000"/>
              <w:left w:val="single" w:sz="4" w:color="000000"/>
              <w:bottom w:val="single" w:sz="4" w:color="000000"/>
              <w:right w:val="single" w:sz="4" w:color="000000"/>
            </w:tcBorders>
          </w:tcPr>
          <w:p>
            <w:pPr>
              <w:jc w:val="center"/>
            </w:pPr>
            <w:r>
              <w:t>0.750</w:t>
            </w:r>
          </w:p>
        </w:tc>
        <w:tc>
          <w:tcPr>
            <w:tcW w:type="dxa" w:w="1008"/>
            <w:tcBorders>
              <w:top w:val="single" w:sz="4" w:color="000000"/>
              <w:left w:val="single" w:sz="4" w:color="000000"/>
              <w:bottom w:val="single" w:sz="4" w:color="000000"/>
              <w:right w:val="single" w:sz="4" w:color="000000"/>
            </w:tcBorders>
          </w:tcPr>
          <w:p>
            <w:pPr>
              <w:jc w:val="center"/>
            </w:pPr>
            <w:r>
              <w:t>82.6</w:t>
            </w:r>
          </w:p>
        </w:tc>
        <w:tc>
          <w:tcPr>
            <w:tcW w:type="dxa" w:w="1008"/>
            <w:tcBorders>
              <w:top w:val="single" w:sz="4" w:color="000000"/>
              <w:left w:val="single" w:sz="4" w:color="000000"/>
              <w:bottom w:val="single" w:sz="4" w:color="000000"/>
              <w:right w:val="single" w:sz="4" w:color="000000"/>
            </w:tcBorders>
          </w:tcPr>
          <w:p>
            <w:pPr>
              <w:jc w:val="center"/>
            </w:pPr>
            <w:r>
              <w:t>95.0</w:t>
            </w:r>
          </w:p>
        </w:tc>
        <w:tc>
          <w:tcPr>
            <w:tcW w:type="dxa" w:w="1008"/>
            <w:tcBorders>
              <w:top w:val="single" w:sz="4" w:color="000000"/>
              <w:left w:val="single" w:sz="4" w:color="000000"/>
              <w:bottom w:val="single" w:sz="4" w:color="000000"/>
              <w:right w:val="single" w:sz="4" w:color="000000"/>
            </w:tcBorders>
          </w:tcPr>
          <w:p>
            <w:pPr>
              <w:jc w:val="center"/>
            </w:pPr>
            <w:r>
              <w:t>94.1</w:t>
            </w:r>
          </w:p>
        </w:tc>
        <w:tc>
          <w:tcPr>
            <w:tcW w:type="dxa" w:w="1008"/>
            <w:tcBorders>
              <w:top w:val="single" w:sz="4" w:color="000000"/>
              <w:left w:val="single" w:sz="4" w:color="000000"/>
              <w:bottom w:val="single" w:sz="4" w:color="000000"/>
              <w:right w:val="single" w:sz="4" w:color="000000"/>
            </w:tcBorders>
          </w:tcPr>
          <w:p>
            <w:pPr>
              <w:jc w:val="center"/>
            </w:pPr>
            <w:r>
              <w:t>80.0</w:t>
            </w:r>
          </w:p>
        </w:tc>
        <w:tc>
          <w:tcPr>
            <w:tcW w:type="dxa" w:w="1008"/>
            <w:tcBorders>
              <w:top w:val="single" w:sz="4" w:color="000000"/>
              <w:left w:val="single" w:sz="4" w:color="000000"/>
              <w:bottom w:val="single" w:sz="4" w:color="000000"/>
              <w:right w:val="single" w:sz="4" w:color="000000"/>
            </w:tcBorders>
          </w:tcPr>
          <w:p>
            <w:pPr>
              <w:jc w:val="center"/>
            </w:pPr>
            <w:r>
              <w:t>75.0</w:t>
            </w:r>
          </w:p>
        </w:tc>
        <w:tc>
          <w:tcPr>
            <w:tcW w:type="dxa" w:w="1008"/>
            <w:tcBorders>
              <w:top w:val="single" w:sz="4" w:color="000000"/>
              <w:left w:val="single" w:sz="4" w:color="000000"/>
              <w:bottom w:val="single" w:sz="4" w:color="000000"/>
              <w:right w:val="single" w:sz="4" w:color="000000"/>
            </w:tcBorders>
          </w:tcPr>
          <w:p>
            <w:pPr>
              <w:jc w:val="center"/>
            </w:pPr>
            <w:r>
              <w:t>75.0</w:t>
            </w:r>
          </w:p>
        </w:tc>
      </w:tr>
      <w:tr>
        <w:tc>
          <w:tcPr>
            <w:tcW w:type="dxa" w:w="1008"/>
            <w:tcBorders>
              <w:top w:val="single" w:sz="4" w:color="000000"/>
              <w:left w:val="single" w:sz="4" w:color="000000"/>
              <w:bottom w:val="single" w:sz="4" w:color="000000"/>
              <w:right w:val="single" w:sz="4" w:color="000000"/>
            </w:tcBorders>
          </w:tcPr>
          <w:p>
            <w:pPr>
              <w:jc w:val="center"/>
            </w:pPr>
            <w:r>
              <w:t>2001</w:t>
            </w:r>
          </w:p>
        </w:tc>
        <w:tc>
          <w:tcPr>
            <w:tcW w:type="dxa" w:w="1008"/>
            <w:tcBorders>
              <w:top w:val="single" w:sz="4" w:color="000000"/>
              <w:left w:val="single" w:sz="4" w:color="000000"/>
              <w:bottom w:val="single" w:sz="4" w:color="000000"/>
              <w:right w:val="single" w:sz="4" w:color="000000"/>
            </w:tcBorders>
          </w:tcPr>
          <w:p>
            <w:pPr>
              <w:jc w:val="center"/>
            </w:pPr>
            <w:r>
              <w:t>90.0</w:t>
            </w:r>
          </w:p>
        </w:tc>
        <w:tc>
          <w:tcPr>
            <w:tcW w:type="dxa" w:w="1008"/>
            <w:tcBorders>
              <w:top w:val="single" w:sz="4" w:color="000000"/>
              <w:left w:val="single" w:sz="4" w:color="000000"/>
              <w:bottom w:val="single" w:sz="4" w:color="000000"/>
              <w:right w:val="single" w:sz="4" w:color="000000"/>
            </w:tcBorders>
          </w:tcPr>
          <w:p>
            <w:pPr>
              <w:jc w:val="center"/>
            </w:pPr>
            <w:r>
              <w:t>0.850</w:t>
            </w:r>
          </w:p>
        </w:tc>
        <w:tc>
          <w:tcPr>
            <w:tcW w:type="dxa" w:w="1008"/>
            <w:tcBorders>
              <w:top w:val="single" w:sz="4" w:color="000000"/>
              <w:left w:val="single" w:sz="4" w:color="000000"/>
              <w:bottom w:val="single" w:sz="4" w:color="000000"/>
              <w:right w:val="single" w:sz="4" w:color="000000"/>
            </w:tcBorders>
          </w:tcPr>
          <w:p>
            <w:pPr>
              <w:jc w:val="center"/>
            </w:pPr>
            <w:r>
              <w:t>82.6</w:t>
            </w:r>
          </w:p>
        </w:tc>
        <w:tc>
          <w:tcPr>
            <w:tcW w:type="dxa" w:w="1008"/>
            <w:tcBorders>
              <w:top w:val="single" w:sz="4" w:color="000000"/>
              <w:left w:val="single" w:sz="4" w:color="000000"/>
              <w:bottom w:val="single" w:sz="4" w:color="000000"/>
              <w:right w:val="single" w:sz="4" w:color="000000"/>
            </w:tcBorders>
          </w:tcPr>
          <w:p>
            <w:pPr>
              <w:jc w:val="center"/>
            </w:pPr>
            <w:r>
              <w:t>95.0</w:t>
            </w:r>
          </w:p>
        </w:tc>
        <w:tc>
          <w:tcPr>
            <w:tcW w:type="dxa" w:w="1008"/>
            <w:tcBorders>
              <w:top w:val="single" w:sz="4" w:color="000000"/>
              <w:left w:val="single" w:sz="4" w:color="000000"/>
              <w:bottom w:val="single" w:sz="4" w:color="000000"/>
              <w:right w:val="single" w:sz="4" w:color="000000"/>
            </w:tcBorders>
          </w:tcPr>
          <w:p>
            <w:pPr>
              <w:jc w:val="center"/>
            </w:pPr>
            <w:r>
              <w:t>95.2</w:t>
            </w:r>
          </w:p>
        </w:tc>
        <w:tc>
          <w:tcPr>
            <w:tcW w:type="dxa" w:w="1008"/>
            <w:tcBorders>
              <w:top w:val="single" w:sz="4" w:color="000000"/>
              <w:left w:val="single" w:sz="4" w:color="000000"/>
              <w:bottom w:val="single" w:sz="4" w:color="000000"/>
              <w:right w:val="single" w:sz="4" w:color="000000"/>
            </w:tcBorders>
          </w:tcPr>
          <w:p>
            <w:pPr>
              <w:jc w:val="center"/>
            </w:pPr>
            <w:r>
              <w:t>100.0</w:t>
            </w:r>
          </w:p>
        </w:tc>
        <w:tc>
          <w:tcPr>
            <w:tcW w:type="dxa" w:w="1008"/>
            <w:tcBorders>
              <w:top w:val="single" w:sz="4" w:color="000000"/>
              <w:left w:val="single" w:sz="4" w:color="000000"/>
              <w:bottom w:val="single" w:sz="4" w:color="000000"/>
              <w:right w:val="single" w:sz="4" w:color="000000"/>
            </w:tcBorders>
          </w:tcPr>
          <w:p>
            <w:pPr>
              <w:jc w:val="center"/>
            </w:pPr>
            <w:r>
              <w:t>93.8</w:t>
            </w:r>
          </w:p>
        </w:tc>
        <w:tc>
          <w:tcPr>
            <w:tcW w:type="dxa" w:w="1008"/>
            <w:tcBorders>
              <w:top w:val="single" w:sz="4" w:color="000000"/>
              <w:left w:val="single" w:sz="4" w:color="000000"/>
              <w:bottom w:val="single" w:sz="4" w:color="000000"/>
              <w:right w:val="single" w:sz="4" w:color="000000"/>
            </w:tcBorders>
          </w:tcPr>
          <w:p>
            <w:pPr>
              <w:jc w:val="center"/>
            </w:pPr>
            <w:r>
              <w:t>75.0</w:t>
            </w:r>
          </w:p>
        </w:tc>
      </w:tr>
      <w:tr>
        <w:tc>
          <w:tcPr>
            <w:tcW w:type="dxa" w:w="1008"/>
            <w:tcBorders>
              <w:top w:val="single" w:sz="4" w:color="000000"/>
              <w:left w:val="single" w:sz="4" w:color="000000"/>
              <w:bottom w:val="single" w:sz="4" w:color="000000"/>
              <w:right w:val="single" w:sz="4" w:color="000000"/>
            </w:tcBorders>
          </w:tcPr>
          <w:p>
            <w:pPr>
              <w:jc w:val="center"/>
            </w:pPr>
            <w:r>
              <w:t>2015</w:t>
            </w:r>
          </w:p>
        </w:tc>
        <w:tc>
          <w:tcPr>
            <w:tcW w:type="dxa" w:w="1008"/>
            <w:tcBorders>
              <w:top w:val="single" w:sz="4" w:color="000000"/>
              <w:left w:val="single" w:sz="4" w:color="000000"/>
              <w:bottom w:val="single" w:sz="4" w:color="000000"/>
              <w:right w:val="single" w:sz="4" w:color="000000"/>
            </w:tcBorders>
          </w:tcPr>
          <w:p>
            <w:pPr>
              <w:jc w:val="center"/>
            </w:pPr>
            <w:r>
              <w:t>86.7</w:t>
            </w:r>
          </w:p>
        </w:tc>
        <w:tc>
          <w:tcPr>
            <w:tcW w:type="dxa" w:w="1008"/>
            <w:tcBorders>
              <w:top w:val="single" w:sz="4" w:color="000000"/>
              <w:left w:val="single" w:sz="4" w:color="000000"/>
              <w:bottom w:val="single" w:sz="4" w:color="000000"/>
              <w:right w:val="single" w:sz="4" w:color="000000"/>
            </w:tcBorders>
          </w:tcPr>
          <w:p>
            <w:pPr>
              <w:jc w:val="center"/>
            </w:pPr>
            <w:r>
              <w:t>0.800</w:t>
            </w:r>
          </w:p>
        </w:tc>
        <w:tc>
          <w:tcPr>
            <w:tcW w:type="dxa" w:w="1008"/>
            <w:tcBorders>
              <w:top w:val="single" w:sz="4" w:color="000000"/>
              <w:left w:val="single" w:sz="4" w:color="000000"/>
              <w:bottom w:val="single" w:sz="4" w:color="000000"/>
              <w:right w:val="single" w:sz="4" w:color="000000"/>
            </w:tcBorders>
          </w:tcPr>
          <w:p>
            <w:pPr>
              <w:jc w:val="center"/>
            </w:pPr>
            <w:r>
              <w:t>71.4</w:t>
            </w:r>
          </w:p>
        </w:tc>
        <w:tc>
          <w:tcPr>
            <w:tcW w:type="dxa" w:w="1008"/>
            <w:tcBorders>
              <w:top w:val="single" w:sz="4" w:color="000000"/>
              <w:left w:val="single" w:sz="4" w:color="000000"/>
              <w:bottom w:val="single" w:sz="4" w:color="000000"/>
              <w:right w:val="single" w:sz="4" w:color="000000"/>
            </w:tcBorders>
          </w:tcPr>
          <w:p>
            <w:pPr>
              <w:jc w:val="center"/>
            </w:pPr>
            <w:r>
              <w:t>100.0</w:t>
            </w:r>
          </w:p>
        </w:tc>
        <w:tc>
          <w:tcPr>
            <w:tcW w:type="dxa" w:w="1008"/>
            <w:tcBorders>
              <w:top w:val="single" w:sz="4" w:color="000000"/>
              <w:left w:val="single" w:sz="4" w:color="000000"/>
              <w:bottom w:val="single" w:sz="4" w:color="000000"/>
              <w:right w:val="single" w:sz="4" w:color="000000"/>
            </w:tcBorders>
          </w:tcPr>
          <w:p>
            <w:pPr>
              <w:jc w:val="center"/>
            </w:pPr>
            <w:r>
              <w:t>100.0</w:t>
            </w:r>
          </w:p>
        </w:tc>
        <w:tc>
          <w:tcPr>
            <w:tcW w:type="dxa" w:w="1008"/>
            <w:tcBorders>
              <w:top w:val="single" w:sz="4" w:color="000000"/>
              <w:left w:val="single" w:sz="4" w:color="000000"/>
              <w:bottom w:val="single" w:sz="4" w:color="000000"/>
              <w:right w:val="single" w:sz="4" w:color="000000"/>
            </w:tcBorders>
          </w:tcPr>
          <w:p>
            <w:pPr>
              <w:jc w:val="center"/>
            </w:pPr>
            <w:r>
              <w:t>100.0</w:t>
            </w:r>
          </w:p>
        </w:tc>
        <w:tc>
          <w:tcPr>
            <w:tcW w:type="dxa" w:w="1008"/>
            <w:tcBorders>
              <w:top w:val="single" w:sz="4" w:color="000000"/>
              <w:left w:val="single" w:sz="4" w:color="000000"/>
              <w:bottom w:val="single" w:sz="4" w:color="000000"/>
              <w:right w:val="single" w:sz="4" w:color="000000"/>
            </w:tcBorders>
          </w:tcPr>
          <w:p>
            <w:pPr>
              <w:jc w:val="center"/>
            </w:pPr>
            <w:r>
              <w:t>100.0</w:t>
            </w:r>
          </w:p>
        </w:tc>
        <w:tc>
          <w:tcPr>
            <w:tcW w:type="dxa" w:w="1008"/>
            <w:tcBorders>
              <w:top w:val="single" w:sz="4" w:color="000000"/>
              <w:left w:val="single" w:sz="4" w:color="000000"/>
              <w:bottom w:val="single" w:sz="4" w:color="000000"/>
              <w:right w:val="single" w:sz="4" w:color="000000"/>
            </w:tcBorders>
          </w:tcPr>
          <w:p>
            <w:pPr>
              <w:jc w:val="center"/>
            </w:pPr>
            <w:r>
              <w:t>60.0</w:t>
            </w:r>
          </w:p>
        </w:tc>
      </w:tr>
      <w:tr>
        <w:tc>
          <w:tcPr>
            <w:tcW w:type="dxa" w:w="1008"/>
            <w:tcBorders>
              <w:top w:val="single" w:sz="4" w:color="000000"/>
              <w:left w:val="single" w:sz="4" w:color="000000"/>
              <w:bottom w:val="single" w:sz="4" w:color="000000"/>
              <w:right w:val="single" w:sz="4" w:color="000000"/>
            </w:tcBorders>
          </w:tcPr>
          <w:p>
            <w:pPr>
              <w:jc w:val="center"/>
            </w:pPr>
            <w:r>
              <w:t>2025</w:t>
            </w:r>
          </w:p>
        </w:tc>
        <w:tc>
          <w:tcPr>
            <w:tcW w:type="dxa" w:w="1008"/>
            <w:tcBorders>
              <w:top w:val="single" w:sz="4" w:color="000000"/>
              <w:left w:val="single" w:sz="4" w:color="000000"/>
              <w:bottom w:val="single" w:sz="4" w:color="000000"/>
              <w:right w:val="single" w:sz="4" w:color="000000"/>
            </w:tcBorders>
          </w:tcPr>
          <w:p>
            <w:pPr>
              <w:jc w:val="center"/>
            </w:pPr>
            <w:r>
              <w:t>86.7</w:t>
            </w:r>
          </w:p>
        </w:tc>
        <w:tc>
          <w:tcPr>
            <w:tcW w:type="dxa" w:w="1008"/>
            <w:tcBorders>
              <w:top w:val="single" w:sz="4" w:color="000000"/>
              <w:left w:val="single" w:sz="4" w:color="000000"/>
              <w:bottom w:val="single" w:sz="4" w:color="000000"/>
              <w:right w:val="single" w:sz="4" w:color="000000"/>
            </w:tcBorders>
          </w:tcPr>
          <w:p>
            <w:pPr>
              <w:jc w:val="center"/>
            </w:pPr>
            <w:r>
              <w:t>0.800</w:t>
            </w:r>
          </w:p>
        </w:tc>
        <w:tc>
          <w:tcPr>
            <w:tcW w:type="dxa" w:w="1008"/>
            <w:tcBorders>
              <w:top w:val="single" w:sz="4" w:color="000000"/>
              <w:left w:val="single" w:sz="4" w:color="000000"/>
              <w:bottom w:val="single" w:sz="4" w:color="000000"/>
              <w:right w:val="single" w:sz="4" w:color="000000"/>
            </w:tcBorders>
          </w:tcPr>
          <w:p>
            <w:pPr>
              <w:jc w:val="center"/>
            </w:pPr>
            <w:r>
              <w:t>85.7</w:t>
            </w:r>
          </w:p>
        </w:tc>
        <w:tc>
          <w:tcPr>
            <w:tcW w:type="dxa" w:w="1008"/>
            <w:tcBorders>
              <w:top w:val="single" w:sz="4" w:color="000000"/>
              <w:left w:val="single" w:sz="4" w:color="000000"/>
              <w:bottom w:val="single" w:sz="4" w:color="000000"/>
              <w:right w:val="single" w:sz="4" w:color="000000"/>
            </w:tcBorders>
          </w:tcPr>
          <w:p>
            <w:pPr>
              <w:jc w:val="center"/>
            </w:pPr>
            <w:r>
              <w:t>90.0</w:t>
            </w:r>
          </w:p>
        </w:tc>
        <w:tc>
          <w:tcPr>
            <w:tcW w:type="dxa" w:w="1008"/>
            <w:tcBorders>
              <w:top w:val="single" w:sz="4" w:color="000000"/>
              <w:left w:val="single" w:sz="4" w:color="000000"/>
              <w:bottom w:val="single" w:sz="4" w:color="000000"/>
              <w:right w:val="single" w:sz="4" w:color="000000"/>
            </w:tcBorders>
          </w:tcPr>
          <w:p>
            <w:pPr>
              <w:jc w:val="center"/>
            </w:pPr>
            <w:r>
              <w:t>90.5</w:t>
            </w:r>
          </w:p>
        </w:tc>
        <w:tc>
          <w:tcPr>
            <w:tcW w:type="dxa" w:w="1008"/>
            <w:tcBorders>
              <w:top w:val="single" w:sz="4" w:color="000000"/>
              <w:left w:val="single" w:sz="4" w:color="000000"/>
              <w:bottom w:val="single" w:sz="4" w:color="000000"/>
              <w:right w:val="single" w:sz="4" w:color="000000"/>
            </w:tcBorders>
          </w:tcPr>
          <w:p>
            <w:pPr>
              <w:jc w:val="center"/>
            </w:pPr>
            <w:r>
              <w:t>95.0</w:t>
            </w:r>
          </w:p>
        </w:tc>
        <w:tc>
          <w:tcPr>
            <w:tcW w:type="dxa" w:w="1008"/>
            <w:tcBorders>
              <w:top w:val="single" w:sz="4" w:color="000000"/>
              <w:left w:val="single" w:sz="4" w:color="000000"/>
              <w:bottom w:val="single" w:sz="4" w:color="000000"/>
              <w:right w:val="single" w:sz="4" w:color="000000"/>
            </w:tcBorders>
          </w:tcPr>
          <w:p>
            <w:pPr>
              <w:jc w:val="center"/>
            </w:pPr>
            <w:r>
              <w:t>83.3</w:t>
            </w:r>
          </w:p>
        </w:tc>
        <w:tc>
          <w:tcPr>
            <w:tcW w:type="dxa" w:w="1008"/>
            <w:tcBorders>
              <w:top w:val="single" w:sz="4" w:color="000000"/>
              <w:left w:val="single" w:sz="4" w:color="000000"/>
              <w:bottom w:val="single" w:sz="4" w:color="000000"/>
              <w:right w:val="single" w:sz="4" w:color="000000"/>
            </w:tcBorders>
          </w:tcPr>
          <w:p>
            <w:pPr>
              <w:jc w:val="center"/>
            </w:pPr>
            <w:r>
              <w:t>75.0</w:t>
            </w:r>
          </w:p>
        </w:tc>
      </w:tr>
    </w:tbl>
    <w:p/>
    <w:p>
      <w:r>
        <w:rPr>
          <w:i/>
          <w:sz w:val="18"/>
        </w:rPr>
        <w:t>Table 2.2: Accuracy assessment for Muni-Pomadze (PA = Producer's Accuracy, UA = User's Accuracy, BuBl = Built up/Bareland).</w:t>
      </w:r>
    </w:p>
    <w:p/>
    <w:p>
      <w:pPr>
        <w:jc w:val="center"/>
      </w:pPr>
      <w:r>
        <w:drawing>
          <wp:inline xmlns:a="http://schemas.openxmlformats.org/drawingml/2006/main" xmlns:pic="http://schemas.openxmlformats.org/drawingml/2006/picture">
            <wp:extent cx="3240000" cy="2707736"/>
            <wp:docPr id="5" name="Picture 5"/>
            <wp:cNvGraphicFramePr>
              <a:graphicFrameLocks noChangeAspect="1"/>
            </wp:cNvGraphicFramePr>
            <a:graphic>
              <a:graphicData uri="http://schemas.openxmlformats.org/drawingml/2006/picture">
                <pic:pic>
                  <pic:nvPicPr>
                    <pic:cNvPr id="0" name="muni_confusion_1991.png"/>
                    <pic:cNvPicPr/>
                  </pic:nvPicPr>
                  <pic:blipFill>
                    <a:blip r:embed="rId13"/>
                    <a:stretch>
                      <a:fillRect/>
                    </a:stretch>
                  </pic:blipFill>
                  <pic:spPr>
                    <a:xfrm>
                      <a:off x="0" y="0"/>
                      <a:ext cx="3240000" cy="2707736"/>
                    </a:xfrm>
                    <a:prstGeom prst="rect"/>
                  </pic:spPr>
                </pic:pic>
              </a:graphicData>
            </a:graphic>
          </wp:inline>
        </w:drawing>
      </w:r>
    </w:p>
    <w:p>
      <w:pPr>
        <w:jc w:val="center"/>
      </w:pPr>
      <w:r>
        <w:rPr>
          <w:i/>
          <w:sz w:val="18"/>
        </w:rPr>
        <w:t>Figure: Muni-Pomadze 1991 confusion matrix heatmap.</w:t>
      </w:r>
    </w:p>
    <w:p/>
    <w:p>
      <w:pPr>
        <w:jc w:val="center"/>
      </w:pPr>
      <w:r>
        <w:drawing>
          <wp:inline xmlns:a="http://schemas.openxmlformats.org/drawingml/2006/main" xmlns:pic="http://schemas.openxmlformats.org/drawingml/2006/picture">
            <wp:extent cx="3240000" cy="2707736"/>
            <wp:docPr id="6" name="Picture 6"/>
            <wp:cNvGraphicFramePr>
              <a:graphicFrameLocks noChangeAspect="1"/>
            </wp:cNvGraphicFramePr>
            <a:graphic>
              <a:graphicData uri="http://schemas.openxmlformats.org/drawingml/2006/picture">
                <pic:pic>
                  <pic:nvPicPr>
                    <pic:cNvPr id="0" name="muni_confusion_2001.png"/>
                    <pic:cNvPicPr/>
                  </pic:nvPicPr>
                  <pic:blipFill>
                    <a:blip r:embed="rId14"/>
                    <a:stretch>
                      <a:fillRect/>
                    </a:stretch>
                  </pic:blipFill>
                  <pic:spPr>
                    <a:xfrm>
                      <a:off x="0" y="0"/>
                      <a:ext cx="3240000" cy="2707736"/>
                    </a:xfrm>
                    <a:prstGeom prst="rect"/>
                  </pic:spPr>
                </pic:pic>
              </a:graphicData>
            </a:graphic>
          </wp:inline>
        </w:drawing>
      </w:r>
    </w:p>
    <w:p>
      <w:pPr>
        <w:jc w:val="center"/>
      </w:pPr>
      <w:r>
        <w:rPr>
          <w:i/>
          <w:sz w:val="18"/>
        </w:rPr>
        <w:t>Figure: Muni-Pomadze 2001 confusion matrix heatmap.</w:t>
      </w:r>
    </w:p>
    <w:p/>
    <w:p>
      <w:pPr>
        <w:jc w:val="center"/>
      </w:pPr>
      <w:r>
        <w:drawing>
          <wp:inline xmlns:a="http://schemas.openxmlformats.org/drawingml/2006/main" xmlns:pic="http://schemas.openxmlformats.org/drawingml/2006/picture">
            <wp:extent cx="3240000" cy="2707736"/>
            <wp:docPr id="7" name="Picture 7"/>
            <wp:cNvGraphicFramePr>
              <a:graphicFrameLocks noChangeAspect="1"/>
            </wp:cNvGraphicFramePr>
            <a:graphic>
              <a:graphicData uri="http://schemas.openxmlformats.org/drawingml/2006/picture">
                <pic:pic>
                  <pic:nvPicPr>
                    <pic:cNvPr id="0" name="muni_confusion_2015.png"/>
                    <pic:cNvPicPr/>
                  </pic:nvPicPr>
                  <pic:blipFill>
                    <a:blip r:embed="rId15"/>
                    <a:stretch>
                      <a:fillRect/>
                    </a:stretch>
                  </pic:blipFill>
                  <pic:spPr>
                    <a:xfrm>
                      <a:off x="0" y="0"/>
                      <a:ext cx="3240000" cy="2707736"/>
                    </a:xfrm>
                    <a:prstGeom prst="rect"/>
                  </pic:spPr>
                </pic:pic>
              </a:graphicData>
            </a:graphic>
          </wp:inline>
        </w:drawing>
      </w:r>
    </w:p>
    <w:p>
      <w:pPr>
        <w:jc w:val="center"/>
      </w:pPr>
      <w:r>
        <w:rPr>
          <w:i/>
          <w:sz w:val="18"/>
        </w:rPr>
        <w:t>Figure: Muni-Pomadze 2015 confusion matrix heatmap.</w:t>
      </w:r>
    </w:p>
    <w:p/>
    <w:p>
      <w:pPr>
        <w:jc w:val="center"/>
      </w:pPr>
      <w:r>
        <w:drawing>
          <wp:inline xmlns:a="http://schemas.openxmlformats.org/drawingml/2006/main" xmlns:pic="http://schemas.openxmlformats.org/drawingml/2006/picture">
            <wp:extent cx="3240000" cy="2707736"/>
            <wp:docPr id="8" name="Picture 8"/>
            <wp:cNvGraphicFramePr>
              <a:graphicFrameLocks noChangeAspect="1"/>
            </wp:cNvGraphicFramePr>
            <a:graphic>
              <a:graphicData uri="http://schemas.openxmlformats.org/drawingml/2006/picture">
                <pic:pic>
                  <pic:nvPicPr>
                    <pic:cNvPr id="0" name="muni_confusion_2025.png"/>
                    <pic:cNvPicPr/>
                  </pic:nvPicPr>
                  <pic:blipFill>
                    <a:blip r:embed="rId16"/>
                    <a:stretch>
                      <a:fillRect/>
                    </a:stretch>
                  </pic:blipFill>
                  <pic:spPr>
                    <a:xfrm>
                      <a:off x="0" y="0"/>
                      <a:ext cx="3240000" cy="2707736"/>
                    </a:xfrm>
                    <a:prstGeom prst="rect"/>
                  </pic:spPr>
                </pic:pic>
              </a:graphicData>
            </a:graphic>
          </wp:inline>
        </w:drawing>
      </w:r>
    </w:p>
    <w:p>
      <w:pPr>
        <w:jc w:val="center"/>
      </w:pPr>
      <w:r>
        <w:rPr>
          <w:i/>
          <w:sz w:val="18"/>
        </w:rPr>
        <w:t>Figure: Muni-Pomadze 2025 confusion matrix heatmap.</w:t>
      </w:r>
    </w:p>
    <w:p/>
    <w:p>
      <w:pPr>
        <w:pStyle w:val="Heading2"/>
      </w:pPr>
      <w:r>
        <w:t>2.2 LULC Change Analysis</w:t>
      </w:r>
    </w:p>
    <w:p>
      <w:r>
        <w:t>Area statistics and net changes between time periods are presented below for each site.</w:t>
      </w:r>
    </w:p>
    <w:p>
      <w:pPr>
        <w:pStyle w:val="Heading3"/>
      </w:pPr>
      <w:r>
        <w:t>2.2.1  Keta Lagoon Complex</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color="000000"/>
              <w:left w:val="single" w:sz="4" w:color="000000"/>
              <w:bottom w:val="single" w:sz="4" w:color="000000"/>
              <w:right w:val="single" w:sz="4" w:color="000000"/>
            </w:tcBorders>
          </w:tcPr>
          <w:p>
            <w:pPr>
              <w:jc w:val="center"/>
            </w:pPr>
            <w:r>
              <w:rPr>
                <w:b/>
              </w:rPr>
              <w:t>Year</w:t>
            </w:r>
          </w:p>
        </w:tc>
        <w:tc>
          <w:tcPr>
            <w:tcW w:type="dxa" w:w="2268"/>
            <w:tcBorders>
              <w:top w:val="single" w:sz="4" w:color="000000"/>
              <w:left w:val="single" w:sz="4" w:color="000000"/>
              <w:bottom w:val="single" w:sz="4" w:color="000000"/>
              <w:right w:val="single" w:sz="4" w:color="000000"/>
            </w:tcBorders>
          </w:tcPr>
          <w:p>
            <w:pPr>
              <w:jc w:val="center"/>
            </w:pPr>
            <w:r>
              <w:rPr>
                <w:b/>
              </w:rPr>
              <w:t>Vegetation</w:t>
            </w:r>
          </w:p>
        </w:tc>
        <w:tc>
          <w:tcPr>
            <w:tcW w:type="dxa" w:w="2268"/>
            <w:tcBorders>
              <w:top w:val="single" w:sz="4" w:color="000000"/>
              <w:left w:val="single" w:sz="4" w:color="000000"/>
              <w:bottom w:val="single" w:sz="4" w:color="000000"/>
              <w:right w:val="single" w:sz="4" w:color="000000"/>
            </w:tcBorders>
          </w:tcPr>
          <w:p>
            <w:pPr>
              <w:jc w:val="center"/>
            </w:pPr>
            <w:r>
              <w:rPr>
                <w:b/>
              </w:rPr>
              <w:t>Water body</w:t>
            </w:r>
          </w:p>
        </w:tc>
        <w:tc>
          <w:tcPr>
            <w:tcW w:type="dxa" w:w="2268"/>
            <w:tcBorders>
              <w:top w:val="single" w:sz="4" w:color="000000"/>
              <w:left w:val="single" w:sz="4" w:color="000000"/>
              <w:bottom w:val="single" w:sz="4" w:color="000000"/>
              <w:right w:val="single" w:sz="4" w:color="000000"/>
            </w:tcBorders>
          </w:tcPr>
          <w:p>
            <w:pPr>
              <w:jc w:val="center"/>
            </w:pPr>
            <w:r>
              <w:rPr>
                <w:b/>
              </w:rPr>
              <w:t>Built up/Bareland</w:t>
            </w:r>
          </w:p>
        </w:tc>
      </w:tr>
      <w:tr>
        <w:tc>
          <w:tcPr>
            <w:tcW w:type="dxa" w:w="2268"/>
            <w:tcBorders>
              <w:top w:val="single" w:sz="4" w:color="000000"/>
              <w:left w:val="single" w:sz="4" w:color="000000"/>
              <w:bottom w:val="single" w:sz="4" w:color="000000"/>
              <w:right w:val="single" w:sz="4" w:color="000000"/>
            </w:tcBorders>
          </w:tcPr>
          <w:p>
            <w:pPr>
              <w:jc w:val="center"/>
            </w:pPr>
            <w:r>
              <w:t>1991</w:t>
            </w:r>
          </w:p>
        </w:tc>
        <w:tc>
          <w:tcPr>
            <w:tcW w:type="dxa" w:w="2268"/>
            <w:tcBorders>
              <w:top w:val="single" w:sz="4" w:color="000000"/>
              <w:left w:val="single" w:sz="4" w:color="000000"/>
              <w:bottom w:val="single" w:sz="4" w:color="000000"/>
              <w:right w:val="single" w:sz="4" w:color="000000"/>
            </w:tcBorders>
          </w:tcPr>
          <w:p>
            <w:pPr>
              <w:jc w:val="center"/>
            </w:pPr>
            <w:r>
              <w:t>845.42</w:t>
            </w:r>
          </w:p>
        </w:tc>
        <w:tc>
          <w:tcPr>
            <w:tcW w:type="dxa" w:w="2268"/>
            <w:tcBorders>
              <w:top w:val="single" w:sz="4" w:color="000000"/>
              <w:left w:val="single" w:sz="4" w:color="000000"/>
              <w:bottom w:val="single" w:sz="4" w:color="000000"/>
              <w:right w:val="single" w:sz="4" w:color="000000"/>
            </w:tcBorders>
          </w:tcPr>
          <w:p>
            <w:pPr>
              <w:jc w:val="center"/>
            </w:pPr>
            <w:r>
              <w:t>340.62</w:t>
            </w:r>
          </w:p>
        </w:tc>
        <w:tc>
          <w:tcPr>
            <w:tcW w:type="dxa" w:w="2268"/>
            <w:tcBorders>
              <w:top w:val="single" w:sz="4" w:color="000000"/>
              <w:left w:val="single" w:sz="4" w:color="000000"/>
              <w:bottom w:val="single" w:sz="4" w:color="000000"/>
              <w:right w:val="single" w:sz="4" w:color="000000"/>
            </w:tcBorders>
          </w:tcPr>
          <w:p>
            <w:pPr>
              <w:jc w:val="center"/>
            </w:pPr>
            <w:r>
              <w:t>206.03</w:t>
            </w:r>
          </w:p>
        </w:tc>
      </w:tr>
      <w:tr>
        <w:tc>
          <w:tcPr>
            <w:tcW w:type="dxa" w:w="2268"/>
            <w:tcBorders>
              <w:top w:val="single" w:sz="4" w:color="000000"/>
              <w:left w:val="single" w:sz="4" w:color="000000"/>
              <w:bottom w:val="single" w:sz="4" w:color="000000"/>
              <w:right w:val="single" w:sz="4" w:color="000000"/>
            </w:tcBorders>
          </w:tcPr>
          <w:p>
            <w:pPr>
              <w:jc w:val="center"/>
            </w:pPr>
            <w:r>
              <w:t>2001</w:t>
            </w:r>
          </w:p>
        </w:tc>
        <w:tc>
          <w:tcPr>
            <w:tcW w:type="dxa" w:w="2268"/>
            <w:tcBorders>
              <w:top w:val="single" w:sz="4" w:color="000000"/>
              <w:left w:val="single" w:sz="4" w:color="000000"/>
              <w:bottom w:val="single" w:sz="4" w:color="000000"/>
              <w:right w:val="single" w:sz="4" w:color="000000"/>
            </w:tcBorders>
          </w:tcPr>
          <w:p>
            <w:pPr>
              <w:jc w:val="center"/>
            </w:pPr>
            <w:r>
              <w:t>719.91</w:t>
            </w:r>
          </w:p>
        </w:tc>
        <w:tc>
          <w:tcPr>
            <w:tcW w:type="dxa" w:w="2268"/>
            <w:tcBorders>
              <w:top w:val="single" w:sz="4" w:color="000000"/>
              <w:left w:val="single" w:sz="4" w:color="000000"/>
              <w:bottom w:val="single" w:sz="4" w:color="000000"/>
              <w:right w:val="single" w:sz="4" w:color="000000"/>
            </w:tcBorders>
          </w:tcPr>
          <w:p>
            <w:pPr>
              <w:jc w:val="center"/>
            </w:pPr>
            <w:r>
              <w:t>268.79</w:t>
            </w:r>
          </w:p>
        </w:tc>
        <w:tc>
          <w:tcPr>
            <w:tcW w:type="dxa" w:w="2268"/>
            <w:tcBorders>
              <w:top w:val="single" w:sz="4" w:color="000000"/>
              <w:left w:val="single" w:sz="4" w:color="000000"/>
              <w:bottom w:val="single" w:sz="4" w:color="000000"/>
              <w:right w:val="single" w:sz="4" w:color="000000"/>
            </w:tcBorders>
          </w:tcPr>
          <w:p>
            <w:pPr>
              <w:jc w:val="center"/>
            </w:pPr>
            <w:r>
              <w:t>408.47</w:t>
            </w:r>
          </w:p>
        </w:tc>
      </w:tr>
      <w:tr>
        <w:tc>
          <w:tcPr>
            <w:tcW w:type="dxa" w:w="2268"/>
            <w:tcBorders>
              <w:top w:val="single" w:sz="4" w:color="000000"/>
              <w:left w:val="single" w:sz="4" w:color="000000"/>
              <w:bottom w:val="single" w:sz="4" w:color="000000"/>
              <w:right w:val="single" w:sz="4" w:color="000000"/>
            </w:tcBorders>
          </w:tcPr>
          <w:p>
            <w:pPr>
              <w:jc w:val="center"/>
            </w:pPr>
            <w:r>
              <w:t>2015</w:t>
            </w:r>
          </w:p>
        </w:tc>
        <w:tc>
          <w:tcPr>
            <w:tcW w:type="dxa" w:w="2268"/>
            <w:tcBorders>
              <w:top w:val="single" w:sz="4" w:color="000000"/>
              <w:left w:val="single" w:sz="4" w:color="000000"/>
              <w:bottom w:val="single" w:sz="4" w:color="000000"/>
              <w:right w:val="single" w:sz="4" w:color="000000"/>
            </w:tcBorders>
          </w:tcPr>
          <w:p>
            <w:pPr>
              <w:jc w:val="center"/>
            </w:pPr>
            <w:r>
              <w:t>787.36</w:t>
            </w:r>
          </w:p>
        </w:tc>
        <w:tc>
          <w:tcPr>
            <w:tcW w:type="dxa" w:w="2268"/>
            <w:tcBorders>
              <w:top w:val="single" w:sz="4" w:color="000000"/>
              <w:left w:val="single" w:sz="4" w:color="000000"/>
              <w:bottom w:val="single" w:sz="4" w:color="000000"/>
              <w:right w:val="single" w:sz="4" w:color="000000"/>
            </w:tcBorders>
          </w:tcPr>
          <w:p>
            <w:pPr>
              <w:jc w:val="center"/>
            </w:pPr>
            <w:r>
              <w:t>297.58</w:t>
            </w:r>
          </w:p>
        </w:tc>
        <w:tc>
          <w:tcPr>
            <w:tcW w:type="dxa" w:w="2268"/>
            <w:tcBorders>
              <w:top w:val="single" w:sz="4" w:color="000000"/>
              <w:left w:val="single" w:sz="4" w:color="000000"/>
              <w:bottom w:val="single" w:sz="4" w:color="000000"/>
              <w:right w:val="single" w:sz="4" w:color="000000"/>
            </w:tcBorders>
          </w:tcPr>
          <w:p>
            <w:pPr>
              <w:jc w:val="center"/>
            </w:pPr>
            <w:r>
              <w:t>295.29</w:t>
            </w:r>
          </w:p>
        </w:tc>
      </w:tr>
      <w:tr>
        <w:tc>
          <w:tcPr>
            <w:tcW w:type="dxa" w:w="2268"/>
            <w:tcBorders>
              <w:top w:val="single" w:sz="4" w:color="000000"/>
              <w:left w:val="single" w:sz="4" w:color="000000"/>
              <w:bottom w:val="single" w:sz="4" w:color="000000"/>
              <w:right w:val="single" w:sz="4" w:color="000000"/>
            </w:tcBorders>
          </w:tcPr>
          <w:p>
            <w:pPr>
              <w:jc w:val="center"/>
            </w:pPr>
            <w:r>
              <w:t>2025</w:t>
            </w:r>
          </w:p>
        </w:tc>
        <w:tc>
          <w:tcPr>
            <w:tcW w:type="dxa" w:w="2268"/>
            <w:tcBorders>
              <w:top w:val="single" w:sz="4" w:color="000000"/>
              <w:left w:val="single" w:sz="4" w:color="000000"/>
              <w:bottom w:val="single" w:sz="4" w:color="000000"/>
              <w:right w:val="single" w:sz="4" w:color="000000"/>
            </w:tcBorders>
          </w:tcPr>
          <w:p>
            <w:pPr>
              <w:jc w:val="center"/>
            </w:pPr>
            <w:r>
              <w:t>498.98</w:t>
            </w:r>
          </w:p>
        </w:tc>
        <w:tc>
          <w:tcPr>
            <w:tcW w:type="dxa" w:w="2268"/>
            <w:tcBorders>
              <w:top w:val="single" w:sz="4" w:color="000000"/>
              <w:left w:val="single" w:sz="4" w:color="000000"/>
              <w:bottom w:val="single" w:sz="4" w:color="000000"/>
              <w:right w:val="single" w:sz="4" w:color="000000"/>
            </w:tcBorders>
          </w:tcPr>
          <w:p>
            <w:pPr>
              <w:jc w:val="center"/>
            </w:pPr>
            <w:r>
              <w:t>312.93</w:t>
            </w:r>
          </w:p>
        </w:tc>
        <w:tc>
          <w:tcPr>
            <w:tcW w:type="dxa" w:w="2268"/>
            <w:tcBorders>
              <w:top w:val="single" w:sz="4" w:color="000000"/>
              <w:left w:val="single" w:sz="4" w:color="000000"/>
              <w:bottom w:val="single" w:sz="4" w:color="000000"/>
              <w:right w:val="single" w:sz="4" w:color="000000"/>
            </w:tcBorders>
          </w:tcPr>
          <w:p>
            <w:pPr>
              <w:jc w:val="center"/>
            </w:pPr>
            <w:r>
              <w:t>567.95</w:t>
            </w:r>
          </w:p>
        </w:tc>
      </w:tr>
    </w:tbl>
    <w:p/>
    <w:p>
      <w:r>
        <w:rPr>
          <w:i/>
          <w:sz w:val="18"/>
        </w:rPr>
        <w:t>Table 3: LULC area (km²) by class and year — Keta Lagoon Complex.</w:t>
      </w:r>
    </w:p>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color="000000"/>
              <w:left w:val="single" w:sz="4" w:color="000000"/>
              <w:bottom w:val="single" w:sz="4" w:color="000000"/>
              <w:right w:val="single" w:sz="4" w:color="000000"/>
            </w:tcBorders>
          </w:tcPr>
          <w:p>
            <w:pPr>
              <w:jc w:val="center"/>
            </w:pPr>
            <w:r>
              <w:rPr>
                <w:b/>
              </w:rPr>
              <w:t>Period</w:t>
            </w:r>
          </w:p>
        </w:tc>
        <w:tc>
          <w:tcPr>
            <w:tcW w:type="dxa" w:w="1296"/>
            <w:tcBorders>
              <w:top w:val="single" w:sz="4" w:color="000000"/>
              <w:left w:val="single" w:sz="4" w:color="000000"/>
              <w:bottom w:val="single" w:sz="4" w:color="000000"/>
              <w:right w:val="single" w:sz="4" w:color="000000"/>
            </w:tcBorders>
          </w:tcPr>
          <w:p>
            <w:pPr>
              <w:jc w:val="center"/>
            </w:pPr>
            <w:r>
              <w:rPr>
                <w:b/>
              </w:rPr>
              <w:t>Veg Δkm²</w:t>
            </w:r>
          </w:p>
        </w:tc>
        <w:tc>
          <w:tcPr>
            <w:tcW w:type="dxa" w:w="1296"/>
            <w:tcBorders>
              <w:top w:val="single" w:sz="4" w:color="000000"/>
              <w:left w:val="single" w:sz="4" w:color="000000"/>
              <w:bottom w:val="single" w:sz="4" w:color="000000"/>
              <w:right w:val="single" w:sz="4" w:color="000000"/>
            </w:tcBorders>
          </w:tcPr>
          <w:p>
            <w:pPr>
              <w:jc w:val="center"/>
            </w:pPr>
            <w:r>
              <w:rPr>
                <w:b/>
              </w:rPr>
              <w:t>Veg Δ%</w:t>
            </w:r>
          </w:p>
        </w:tc>
        <w:tc>
          <w:tcPr>
            <w:tcW w:type="dxa" w:w="1296"/>
            <w:tcBorders>
              <w:top w:val="single" w:sz="4" w:color="000000"/>
              <w:left w:val="single" w:sz="4" w:color="000000"/>
              <w:bottom w:val="single" w:sz="4" w:color="000000"/>
              <w:right w:val="single" w:sz="4" w:color="000000"/>
            </w:tcBorders>
          </w:tcPr>
          <w:p>
            <w:pPr>
              <w:jc w:val="center"/>
            </w:pPr>
            <w:r>
              <w:rPr>
                <w:b/>
              </w:rPr>
              <w:t>Wat Δkm²</w:t>
            </w:r>
          </w:p>
        </w:tc>
        <w:tc>
          <w:tcPr>
            <w:tcW w:type="dxa" w:w="1296"/>
            <w:tcBorders>
              <w:top w:val="single" w:sz="4" w:color="000000"/>
              <w:left w:val="single" w:sz="4" w:color="000000"/>
              <w:bottom w:val="single" w:sz="4" w:color="000000"/>
              <w:right w:val="single" w:sz="4" w:color="000000"/>
            </w:tcBorders>
          </w:tcPr>
          <w:p>
            <w:pPr>
              <w:jc w:val="center"/>
            </w:pPr>
            <w:r>
              <w:rPr>
                <w:b/>
              </w:rPr>
              <w:t>Wat Δ%</w:t>
            </w:r>
          </w:p>
        </w:tc>
        <w:tc>
          <w:tcPr>
            <w:tcW w:type="dxa" w:w="1296"/>
            <w:tcBorders>
              <w:top w:val="single" w:sz="4" w:color="000000"/>
              <w:left w:val="single" w:sz="4" w:color="000000"/>
              <w:bottom w:val="single" w:sz="4" w:color="000000"/>
              <w:right w:val="single" w:sz="4" w:color="000000"/>
            </w:tcBorders>
          </w:tcPr>
          <w:p>
            <w:pPr>
              <w:jc w:val="center"/>
            </w:pPr>
            <w:r>
              <w:rPr>
                <w:b/>
              </w:rPr>
              <w:t>Bui Δkm²</w:t>
            </w:r>
          </w:p>
        </w:tc>
        <w:tc>
          <w:tcPr>
            <w:tcW w:type="dxa" w:w="1296"/>
            <w:tcBorders>
              <w:top w:val="single" w:sz="4" w:color="000000"/>
              <w:left w:val="single" w:sz="4" w:color="000000"/>
              <w:bottom w:val="single" w:sz="4" w:color="000000"/>
              <w:right w:val="single" w:sz="4" w:color="000000"/>
            </w:tcBorders>
          </w:tcPr>
          <w:p>
            <w:pPr>
              <w:jc w:val="center"/>
            </w:pPr>
            <w:r>
              <w:rPr>
                <w:b/>
              </w:rPr>
              <w:t>Bui Δ%</w:t>
            </w:r>
          </w:p>
        </w:tc>
      </w:tr>
      <w:tr>
        <w:tc>
          <w:tcPr>
            <w:tcW w:type="dxa" w:w="1296"/>
            <w:tcBorders>
              <w:top w:val="single" w:sz="4" w:color="000000"/>
              <w:left w:val="single" w:sz="4" w:color="000000"/>
              <w:bottom w:val="single" w:sz="4" w:color="000000"/>
              <w:right w:val="single" w:sz="4" w:color="000000"/>
            </w:tcBorders>
          </w:tcPr>
          <w:p>
            <w:pPr>
              <w:jc w:val="center"/>
            </w:pPr>
            <w:r>
              <w:t>1991–2001</w:t>
            </w:r>
          </w:p>
        </w:tc>
        <w:tc>
          <w:tcPr>
            <w:tcW w:type="dxa" w:w="1296"/>
            <w:tcBorders>
              <w:top w:val="single" w:sz="4" w:color="000000"/>
              <w:left w:val="single" w:sz="4" w:color="000000"/>
              <w:bottom w:val="single" w:sz="4" w:color="000000"/>
              <w:right w:val="single" w:sz="4" w:color="000000"/>
            </w:tcBorders>
          </w:tcPr>
          <w:p>
            <w:pPr>
              <w:jc w:val="center"/>
            </w:pPr>
            <w:r>
              <w:t>-125.51</w:t>
            </w:r>
          </w:p>
        </w:tc>
        <w:tc>
          <w:tcPr>
            <w:tcW w:type="dxa" w:w="1296"/>
            <w:tcBorders>
              <w:top w:val="single" w:sz="4" w:color="000000"/>
              <w:left w:val="single" w:sz="4" w:color="000000"/>
              <w:bottom w:val="single" w:sz="4" w:color="000000"/>
              <w:right w:val="single" w:sz="4" w:color="000000"/>
            </w:tcBorders>
          </w:tcPr>
          <w:p>
            <w:pPr>
              <w:jc w:val="center"/>
            </w:pPr>
            <w:r>
              <w:t>-14.8</w:t>
            </w:r>
          </w:p>
        </w:tc>
        <w:tc>
          <w:tcPr>
            <w:tcW w:type="dxa" w:w="1296"/>
            <w:tcBorders>
              <w:top w:val="single" w:sz="4" w:color="000000"/>
              <w:left w:val="single" w:sz="4" w:color="000000"/>
              <w:bottom w:val="single" w:sz="4" w:color="000000"/>
              <w:right w:val="single" w:sz="4" w:color="000000"/>
            </w:tcBorders>
          </w:tcPr>
          <w:p>
            <w:pPr>
              <w:jc w:val="center"/>
            </w:pPr>
            <w:r>
              <w:t>-71.84</w:t>
            </w:r>
          </w:p>
        </w:tc>
        <w:tc>
          <w:tcPr>
            <w:tcW w:type="dxa" w:w="1296"/>
            <w:tcBorders>
              <w:top w:val="single" w:sz="4" w:color="000000"/>
              <w:left w:val="single" w:sz="4" w:color="000000"/>
              <w:bottom w:val="single" w:sz="4" w:color="000000"/>
              <w:right w:val="single" w:sz="4" w:color="000000"/>
            </w:tcBorders>
          </w:tcPr>
          <w:p>
            <w:pPr>
              <w:jc w:val="center"/>
            </w:pPr>
            <w:r>
              <w:t>-21.1</w:t>
            </w:r>
          </w:p>
        </w:tc>
        <w:tc>
          <w:tcPr>
            <w:tcW w:type="dxa" w:w="1296"/>
            <w:tcBorders>
              <w:top w:val="single" w:sz="4" w:color="000000"/>
              <w:left w:val="single" w:sz="4" w:color="000000"/>
              <w:bottom w:val="single" w:sz="4" w:color="000000"/>
              <w:right w:val="single" w:sz="4" w:color="000000"/>
            </w:tcBorders>
          </w:tcPr>
          <w:p>
            <w:pPr>
              <w:jc w:val="center"/>
            </w:pPr>
            <w:r>
              <w:t>+202.44</w:t>
            </w:r>
          </w:p>
        </w:tc>
        <w:tc>
          <w:tcPr>
            <w:tcW w:type="dxa" w:w="1296"/>
            <w:tcBorders>
              <w:top w:val="single" w:sz="4" w:color="000000"/>
              <w:left w:val="single" w:sz="4" w:color="000000"/>
              <w:bottom w:val="single" w:sz="4" w:color="000000"/>
              <w:right w:val="single" w:sz="4" w:color="000000"/>
            </w:tcBorders>
          </w:tcPr>
          <w:p>
            <w:pPr>
              <w:jc w:val="center"/>
            </w:pPr>
            <w:r>
              <w:t>+98.3</w:t>
            </w:r>
          </w:p>
        </w:tc>
      </w:tr>
      <w:tr>
        <w:tc>
          <w:tcPr>
            <w:tcW w:type="dxa" w:w="1296"/>
            <w:tcBorders>
              <w:top w:val="single" w:sz="4" w:color="000000"/>
              <w:left w:val="single" w:sz="4" w:color="000000"/>
              <w:bottom w:val="single" w:sz="4" w:color="000000"/>
              <w:right w:val="single" w:sz="4" w:color="000000"/>
            </w:tcBorders>
          </w:tcPr>
          <w:p>
            <w:pPr>
              <w:jc w:val="center"/>
            </w:pPr>
            <w:r>
              <w:t>2001–2015</w:t>
            </w:r>
          </w:p>
        </w:tc>
        <w:tc>
          <w:tcPr>
            <w:tcW w:type="dxa" w:w="1296"/>
            <w:tcBorders>
              <w:top w:val="single" w:sz="4" w:color="000000"/>
              <w:left w:val="single" w:sz="4" w:color="000000"/>
              <w:bottom w:val="single" w:sz="4" w:color="000000"/>
              <w:right w:val="single" w:sz="4" w:color="000000"/>
            </w:tcBorders>
          </w:tcPr>
          <w:p>
            <w:pPr>
              <w:jc w:val="center"/>
            </w:pPr>
            <w:r>
              <w:t>+67.45</w:t>
            </w:r>
          </w:p>
        </w:tc>
        <w:tc>
          <w:tcPr>
            <w:tcW w:type="dxa" w:w="1296"/>
            <w:tcBorders>
              <w:top w:val="single" w:sz="4" w:color="000000"/>
              <w:left w:val="single" w:sz="4" w:color="000000"/>
              <w:bottom w:val="single" w:sz="4" w:color="000000"/>
              <w:right w:val="single" w:sz="4" w:color="000000"/>
            </w:tcBorders>
          </w:tcPr>
          <w:p>
            <w:pPr>
              <w:jc w:val="center"/>
            </w:pPr>
            <w:r>
              <w:t>+9.4</w:t>
            </w:r>
          </w:p>
        </w:tc>
        <w:tc>
          <w:tcPr>
            <w:tcW w:type="dxa" w:w="1296"/>
            <w:tcBorders>
              <w:top w:val="single" w:sz="4" w:color="000000"/>
              <w:left w:val="single" w:sz="4" w:color="000000"/>
              <w:bottom w:val="single" w:sz="4" w:color="000000"/>
              <w:right w:val="single" w:sz="4" w:color="000000"/>
            </w:tcBorders>
          </w:tcPr>
          <w:p>
            <w:pPr>
              <w:jc w:val="center"/>
            </w:pPr>
            <w:r>
              <w:t>+28.80</w:t>
            </w:r>
          </w:p>
        </w:tc>
        <w:tc>
          <w:tcPr>
            <w:tcW w:type="dxa" w:w="1296"/>
            <w:tcBorders>
              <w:top w:val="single" w:sz="4" w:color="000000"/>
              <w:left w:val="single" w:sz="4" w:color="000000"/>
              <w:bottom w:val="single" w:sz="4" w:color="000000"/>
              <w:right w:val="single" w:sz="4" w:color="000000"/>
            </w:tcBorders>
          </w:tcPr>
          <w:p>
            <w:pPr>
              <w:jc w:val="center"/>
            </w:pPr>
            <w:r>
              <w:t>+10.7</w:t>
            </w:r>
          </w:p>
        </w:tc>
        <w:tc>
          <w:tcPr>
            <w:tcW w:type="dxa" w:w="1296"/>
            <w:tcBorders>
              <w:top w:val="single" w:sz="4" w:color="000000"/>
              <w:left w:val="single" w:sz="4" w:color="000000"/>
              <w:bottom w:val="single" w:sz="4" w:color="000000"/>
              <w:right w:val="single" w:sz="4" w:color="000000"/>
            </w:tcBorders>
          </w:tcPr>
          <w:p>
            <w:pPr>
              <w:jc w:val="center"/>
            </w:pPr>
            <w:r>
              <w:t>-113.18</w:t>
            </w:r>
          </w:p>
        </w:tc>
        <w:tc>
          <w:tcPr>
            <w:tcW w:type="dxa" w:w="1296"/>
            <w:tcBorders>
              <w:top w:val="single" w:sz="4" w:color="000000"/>
              <w:left w:val="single" w:sz="4" w:color="000000"/>
              <w:bottom w:val="single" w:sz="4" w:color="000000"/>
              <w:right w:val="single" w:sz="4" w:color="000000"/>
            </w:tcBorders>
          </w:tcPr>
          <w:p>
            <w:pPr>
              <w:jc w:val="center"/>
            </w:pPr>
            <w:r>
              <w:t>-27.7</w:t>
            </w:r>
          </w:p>
        </w:tc>
      </w:tr>
      <w:tr>
        <w:tc>
          <w:tcPr>
            <w:tcW w:type="dxa" w:w="1296"/>
            <w:tcBorders>
              <w:top w:val="single" w:sz="4" w:color="000000"/>
              <w:left w:val="single" w:sz="4" w:color="000000"/>
              <w:bottom w:val="single" w:sz="4" w:color="000000"/>
              <w:right w:val="single" w:sz="4" w:color="000000"/>
            </w:tcBorders>
          </w:tcPr>
          <w:p>
            <w:pPr>
              <w:jc w:val="center"/>
            </w:pPr>
            <w:r>
              <w:t>2015–2025</w:t>
            </w:r>
          </w:p>
        </w:tc>
        <w:tc>
          <w:tcPr>
            <w:tcW w:type="dxa" w:w="1296"/>
            <w:tcBorders>
              <w:top w:val="single" w:sz="4" w:color="000000"/>
              <w:left w:val="single" w:sz="4" w:color="000000"/>
              <w:bottom w:val="single" w:sz="4" w:color="000000"/>
              <w:right w:val="single" w:sz="4" w:color="000000"/>
            </w:tcBorders>
          </w:tcPr>
          <w:p>
            <w:pPr>
              <w:jc w:val="center"/>
            </w:pPr>
            <w:r>
              <w:t>-288.38</w:t>
            </w:r>
          </w:p>
        </w:tc>
        <w:tc>
          <w:tcPr>
            <w:tcW w:type="dxa" w:w="1296"/>
            <w:tcBorders>
              <w:top w:val="single" w:sz="4" w:color="000000"/>
              <w:left w:val="single" w:sz="4" w:color="000000"/>
              <w:bottom w:val="single" w:sz="4" w:color="000000"/>
              <w:right w:val="single" w:sz="4" w:color="000000"/>
            </w:tcBorders>
          </w:tcPr>
          <w:p>
            <w:pPr>
              <w:jc w:val="center"/>
            </w:pPr>
            <w:r>
              <w:t>-36.6</w:t>
            </w:r>
          </w:p>
        </w:tc>
        <w:tc>
          <w:tcPr>
            <w:tcW w:type="dxa" w:w="1296"/>
            <w:tcBorders>
              <w:top w:val="single" w:sz="4" w:color="000000"/>
              <w:left w:val="single" w:sz="4" w:color="000000"/>
              <w:bottom w:val="single" w:sz="4" w:color="000000"/>
              <w:right w:val="single" w:sz="4" w:color="000000"/>
            </w:tcBorders>
          </w:tcPr>
          <w:p>
            <w:pPr>
              <w:jc w:val="center"/>
            </w:pPr>
            <w:r>
              <w:t>+15.35</w:t>
            </w:r>
          </w:p>
        </w:tc>
        <w:tc>
          <w:tcPr>
            <w:tcW w:type="dxa" w:w="1296"/>
            <w:tcBorders>
              <w:top w:val="single" w:sz="4" w:color="000000"/>
              <w:left w:val="single" w:sz="4" w:color="000000"/>
              <w:bottom w:val="single" w:sz="4" w:color="000000"/>
              <w:right w:val="single" w:sz="4" w:color="000000"/>
            </w:tcBorders>
          </w:tcPr>
          <w:p>
            <w:pPr>
              <w:jc w:val="center"/>
            </w:pPr>
            <w:r>
              <w:t>+5.2</w:t>
            </w:r>
          </w:p>
        </w:tc>
        <w:tc>
          <w:tcPr>
            <w:tcW w:type="dxa" w:w="1296"/>
            <w:tcBorders>
              <w:top w:val="single" w:sz="4" w:color="000000"/>
              <w:left w:val="single" w:sz="4" w:color="000000"/>
              <w:bottom w:val="single" w:sz="4" w:color="000000"/>
              <w:right w:val="single" w:sz="4" w:color="000000"/>
            </w:tcBorders>
          </w:tcPr>
          <w:p>
            <w:pPr>
              <w:jc w:val="center"/>
            </w:pPr>
            <w:r>
              <w:t>+272.66</w:t>
            </w:r>
          </w:p>
        </w:tc>
        <w:tc>
          <w:tcPr>
            <w:tcW w:type="dxa" w:w="1296"/>
            <w:tcBorders>
              <w:top w:val="single" w:sz="4" w:color="000000"/>
              <w:left w:val="single" w:sz="4" w:color="000000"/>
              <w:bottom w:val="single" w:sz="4" w:color="000000"/>
              <w:right w:val="single" w:sz="4" w:color="000000"/>
            </w:tcBorders>
          </w:tcPr>
          <w:p>
            <w:pPr>
              <w:jc w:val="center"/>
            </w:pPr>
            <w:r>
              <w:t>+92.3</w:t>
            </w:r>
          </w:p>
        </w:tc>
      </w:tr>
      <w:tr>
        <w:tc>
          <w:tcPr>
            <w:tcW w:type="dxa" w:w="1296"/>
            <w:tcBorders>
              <w:top w:val="single" w:sz="4" w:color="000000"/>
              <w:left w:val="single" w:sz="4" w:color="000000"/>
              <w:bottom w:val="single" w:sz="4" w:color="000000"/>
              <w:right w:val="single" w:sz="4" w:color="000000"/>
            </w:tcBorders>
          </w:tcPr>
          <w:p>
            <w:pPr>
              <w:jc w:val="center"/>
            </w:pPr>
            <w:r>
              <w:t>1991–2025</w:t>
            </w:r>
          </w:p>
        </w:tc>
        <w:tc>
          <w:tcPr>
            <w:tcW w:type="dxa" w:w="1296"/>
            <w:tcBorders>
              <w:top w:val="single" w:sz="4" w:color="000000"/>
              <w:left w:val="single" w:sz="4" w:color="000000"/>
              <w:bottom w:val="single" w:sz="4" w:color="000000"/>
              <w:right w:val="single" w:sz="4" w:color="000000"/>
            </w:tcBorders>
          </w:tcPr>
          <w:p>
            <w:pPr>
              <w:jc w:val="center"/>
            </w:pPr>
            <w:r>
              <w:t>-346.44</w:t>
            </w:r>
          </w:p>
        </w:tc>
        <w:tc>
          <w:tcPr>
            <w:tcW w:type="dxa" w:w="1296"/>
            <w:tcBorders>
              <w:top w:val="single" w:sz="4" w:color="000000"/>
              <w:left w:val="single" w:sz="4" w:color="000000"/>
              <w:bottom w:val="single" w:sz="4" w:color="000000"/>
              <w:right w:val="single" w:sz="4" w:color="000000"/>
            </w:tcBorders>
          </w:tcPr>
          <w:p>
            <w:pPr>
              <w:jc w:val="center"/>
            </w:pPr>
            <w:r>
              <w:t>-41.0</w:t>
            </w:r>
          </w:p>
        </w:tc>
        <w:tc>
          <w:tcPr>
            <w:tcW w:type="dxa" w:w="1296"/>
            <w:tcBorders>
              <w:top w:val="single" w:sz="4" w:color="000000"/>
              <w:left w:val="single" w:sz="4" w:color="000000"/>
              <w:bottom w:val="single" w:sz="4" w:color="000000"/>
              <w:right w:val="single" w:sz="4" w:color="000000"/>
            </w:tcBorders>
          </w:tcPr>
          <w:p>
            <w:pPr>
              <w:jc w:val="center"/>
            </w:pPr>
            <w:r>
              <w:t>-27.69</w:t>
            </w:r>
          </w:p>
        </w:tc>
        <w:tc>
          <w:tcPr>
            <w:tcW w:type="dxa" w:w="1296"/>
            <w:tcBorders>
              <w:top w:val="single" w:sz="4" w:color="000000"/>
              <w:left w:val="single" w:sz="4" w:color="000000"/>
              <w:bottom w:val="single" w:sz="4" w:color="000000"/>
              <w:right w:val="single" w:sz="4" w:color="000000"/>
            </w:tcBorders>
          </w:tcPr>
          <w:p>
            <w:pPr>
              <w:jc w:val="center"/>
            </w:pPr>
            <w:r>
              <w:t>-8.1</w:t>
            </w:r>
          </w:p>
        </w:tc>
        <w:tc>
          <w:tcPr>
            <w:tcW w:type="dxa" w:w="1296"/>
            <w:tcBorders>
              <w:top w:val="single" w:sz="4" w:color="000000"/>
              <w:left w:val="single" w:sz="4" w:color="000000"/>
              <w:bottom w:val="single" w:sz="4" w:color="000000"/>
              <w:right w:val="single" w:sz="4" w:color="000000"/>
            </w:tcBorders>
          </w:tcPr>
          <w:p>
            <w:pPr>
              <w:jc w:val="center"/>
            </w:pPr>
            <w:r>
              <w:t>+361.92</w:t>
            </w:r>
          </w:p>
        </w:tc>
        <w:tc>
          <w:tcPr>
            <w:tcW w:type="dxa" w:w="1296"/>
            <w:tcBorders>
              <w:top w:val="single" w:sz="4" w:color="000000"/>
              <w:left w:val="single" w:sz="4" w:color="000000"/>
              <w:bottom w:val="single" w:sz="4" w:color="000000"/>
              <w:right w:val="single" w:sz="4" w:color="000000"/>
            </w:tcBorders>
          </w:tcPr>
          <w:p>
            <w:pPr>
              <w:jc w:val="center"/>
            </w:pPr>
            <w:r>
              <w:t>+175.7</w:t>
            </w:r>
          </w:p>
        </w:tc>
      </w:tr>
    </w:tbl>
    <w:p/>
    <w:p>
      <w:r>
        <w:rPr>
          <w:i/>
          <w:sz w:val="18"/>
        </w:rPr>
        <w:t>Table 4: Net LULC change by period — Keta Lagoon Complex.</w:t>
      </w:r>
    </w:p>
    <w:p/>
    <w:p>
      <w:pPr>
        <w:jc w:val="center"/>
      </w:pPr>
      <w:r>
        <w:drawing>
          <wp:inline xmlns:a="http://schemas.openxmlformats.org/drawingml/2006/main" xmlns:pic="http://schemas.openxmlformats.org/drawingml/2006/picture">
            <wp:extent cx="5400000" cy="3213831"/>
            <wp:docPr id="9" name="Picture 9"/>
            <wp:cNvGraphicFramePr>
              <a:graphicFrameLocks noChangeAspect="1"/>
            </wp:cNvGraphicFramePr>
            <a:graphic>
              <a:graphicData uri="http://schemas.openxmlformats.org/drawingml/2006/picture">
                <pic:pic>
                  <pic:nvPicPr>
                    <pic:cNvPr id="0" name="keta_area_bar.png"/>
                    <pic:cNvPicPr/>
                  </pic:nvPicPr>
                  <pic:blipFill>
                    <a:blip r:embed="rId17"/>
                    <a:stretch>
                      <a:fillRect/>
                    </a:stretch>
                  </pic:blipFill>
                  <pic:spPr>
                    <a:xfrm>
                      <a:off x="0" y="0"/>
                      <a:ext cx="5400000" cy="3213831"/>
                    </a:xfrm>
                    <a:prstGeom prst="rect"/>
                  </pic:spPr>
                </pic:pic>
              </a:graphicData>
            </a:graphic>
          </wp:inline>
        </w:drawing>
      </w:r>
    </w:p>
    <w:p>
      <w:pPr>
        <w:jc w:val="center"/>
      </w:pPr>
      <w:r>
        <w:rPr>
          <w:i/>
          <w:sz w:val="18"/>
        </w:rPr>
        <w:t>Figure: Keta Lagoon Complex — LULC area by class and year (grouped bar).</w:t>
      </w:r>
    </w:p>
    <w:p/>
    <w:p>
      <w:pPr>
        <w:jc w:val="center"/>
      </w:pPr>
      <w:r>
        <w:drawing>
          <wp:inline xmlns:a="http://schemas.openxmlformats.org/drawingml/2006/main" xmlns:pic="http://schemas.openxmlformats.org/drawingml/2006/picture">
            <wp:extent cx="5400000" cy="2965301"/>
            <wp:docPr id="10" name="Picture 10"/>
            <wp:cNvGraphicFramePr>
              <a:graphicFrameLocks noChangeAspect="1"/>
            </wp:cNvGraphicFramePr>
            <a:graphic>
              <a:graphicData uri="http://schemas.openxmlformats.org/drawingml/2006/picture">
                <pic:pic>
                  <pic:nvPicPr>
                    <pic:cNvPr id="0" name="keta_area_trend.png"/>
                    <pic:cNvPicPr/>
                  </pic:nvPicPr>
                  <pic:blipFill>
                    <a:blip r:embed="rId18"/>
                    <a:stretch>
                      <a:fillRect/>
                    </a:stretch>
                  </pic:blipFill>
                  <pic:spPr>
                    <a:xfrm>
                      <a:off x="0" y="0"/>
                      <a:ext cx="5400000" cy="2965301"/>
                    </a:xfrm>
                    <a:prstGeom prst="rect"/>
                  </pic:spPr>
                </pic:pic>
              </a:graphicData>
            </a:graphic>
          </wp:inline>
        </w:drawing>
      </w:r>
    </w:p>
    <w:p>
      <w:pPr>
        <w:jc w:val="center"/>
      </w:pPr>
      <w:r>
        <w:rPr>
          <w:i/>
          <w:sz w:val="18"/>
        </w:rPr>
        <w:t>Figure: Keta Lagoon Complex — LULC area trend lines 1991–2025.</w:t>
      </w:r>
    </w:p>
    <w:p/>
    <w:p>
      <w:pPr>
        <w:pStyle w:val="Heading3"/>
      </w:pPr>
      <w:r>
        <w:t>2.2.2  Muni-Pomadze</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color="000000"/>
              <w:left w:val="single" w:sz="4" w:color="000000"/>
              <w:bottom w:val="single" w:sz="4" w:color="000000"/>
              <w:right w:val="single" w:sz="4" w:color="000000"/>
            </w:tcBorders>
          </w:tcPr>
          <w:p>
            <w:pPr>
              <w:jc w:val="center"/>
            </w:pPr>
            <w:r>
              <w:rPr>
                <w:b/>
              </w:rPr>
              <w:t>Year</w:t>
            </w:r>
          </w:p>
        </w:tc>
        <w:tc>
          <w:tcPr>
            <w:tcW w:type="dxa" w:w="2268"/>
            <w:tcBorders>
              <w:top w:val="single" w:sz="4" w:color="000000"/>
              <w:left w:val="single" w:sz="4" w:color="000000"/>
              <w:bottom w:val="single" w:sz="4" w:color="000000"/>
              <w:right w:val="single" w:sz="4" w:color="000000"/>
            </w:tcBorders>
          </w:tcPr>
          <w:p>
            <w:pPr>
              <w:jc w:val="center"/>
            </w:pPr>
            <w:r>
              <w:rPr>
                <w:b/>
              </w:rPr>
              <w:t>Vegetation</w:t>
            </w:r>
          </w:p>
        </w:tc>
        <w:tc>
          <w:tcPr>
            <w:tcW w:type="dxa" w:w="2268"/>
            <w:tcBorders>
              <w:top w:val="single" w:sz="4" w:color="000000"/>
              <w:left w:val="single" w:sz="4" w:color="000000"/>
              <w:bottom w:val="single" w:sz="4" w:color="000000"/>
              <w:right w:val="single" w:sz="4" w:color="000000"/>
            </w:tcBorders>
          </w:tcPr>
          <w:p>
            <w:pPr>
              <w:jc w:val="center"/>
            </w:pPr>
            <w:r>
              <w:rPr>
                <w:b/>
              </w:rPr>
              <w:t>Water body</w:t>
            </w:r>
          </w:p>
        </w:tc>
        <w:tc>
          <w:tcPr>
            <w:tcW w:type="dxa" w:w="2268"/>
            <w:tcBorders>
              <w:top w:val="single" w:sz="4" w:color="000000"/>
              <w:left w:val="single" w:sz="4" w:color="000000"/>
              <w:bottom w:val="single" w:sz="4" w:color="000000"/>
              <w:right w:val="single" w:sz="4" w:color="000000"/>
            </w:tcBorders>
          </w:tcPr>
          <w:p>
            <w:pPr>
              <w:jc w:val="center"/>
            </w:pPr>
            <w:r>
              <w:rPr>
                <w:b/>
              </w:rPr>
              <w:t>Built up/Bareland</w:t>
            </w:r>
          </w:p>
        </w:tc>
      </w:tr>
      <w:tr>
        <w:tc>
          <w:tcPr>
            <w:tcW w:type="dxa" w:w="2268"/>
            <w:tcBorders>
              <w:top w:val="single" w:sz="4" w:color="000000"/>
              <w:left w:val="single" w:sz="4" w:color="000000"/>
              <w:bottom w:val="single" w:sz="4" w:color="000000"/>
              <w:right w:val="single" w:sz="4" w:color="000000"/>
            </w:tcBorders>
          </w:tcPr>
          <w:p>
            <w:pPr>
              <w:jc w:val="center"/>
            </w:pPr>
            <w:r>
              <w:t>1991</w:t>
            </w:r>
          </w:p>
        </w:tc>
        <w:tc>
          <w:tcPr>
            <w:tcW w:type="dxa" w:w="2268"/>
            <w:tcBorders>
              <w:top w:val="single" w:sz="4" w:color="000000"/>
              <w:left w:val="single" w:sz="4" w:color="000000"/>
              <w:bottom w:val="single" w:sz="4" w:color="000000"/>
              <w:right w:val="single" w:sz="4" w:color="000000"/>
            </w:tcBorders>
          </w:tcPr>
          <w:p>
            <w:pPr>
              <w:jc w:val="center"/>
            </w:pPr>
            <w:r>
              <w:t>60.77</w:t>
            </w:r>
          </w:p>
        </w:tc>
        <w:tc>
          <w:tcPr>
            <w:tcW w:type="dxa" w:w="2268"/>
            <w:tcBorders>
              <w:top w:val="single" w:sz="4" w:color="000000"/>
              <w:left w:val="single" w:sz="4" w:color="000000"/>
              <w:bottom w:val="single" w:sz="4" w:color="000000"/>
              <w:right w:val="single" w:sz="4" w:color="000000"/>
            </w:tcBorders>
          </w:tcPr>
          <w:p>
            <w:pPr>
              <w:jc w:val="center"/>
            </w:pPr>
            <w:r>
              <w:t>1.56</w:t>
            </w:r>
          </w:p>
        </w:tc>
        <w:tc>
          <w:tcPr>
            <w:tcW w:type="dxa" w:w="2268"/>
            <w:tcBorders>
              <w:top w:val="single" w:sz="4" w:color="000000"/>
              <w:left w:val="single" w:sz="4" w:color="000000"/>
              <w:bottom w:val="single" w:sz="4" w:color="000000"/>
              <w:right w:val="single" w:sz="4" w:color="000000"/>
            </w:tcBorders>
          </w:tcPr>
          <w:p>
            <w:pPr>
              <w:jc w:val="center"/>
            </w:pPr>
            <w:r>
              <w:t>55.59</w:t>
            </w:r>
          </w:p>
        </w:tc>
      </w:tr>
      <w:tr>
        <w:tc>
          <w:tcPr>
            <w:tcW w:type="dxa" w:w="2268"/>
            <w:tcBorders>
              <w:top w:val="single" w:sz="4" w:color="000000"/>
              <w:left w:val="single" w:sz="4" w:color="000000"/>
              <w:bottom w:val="single" w:sz="4" w:color="000000"/>
              <w:right w:val="single" w:sz="4" w:color="000000"/>
            </w:tcBorders>
          </w:tcPr>
          <w:p>
            <w:pPr>
              <w:jc w:val="center"/>
            </w:pPr>
            <w:r>
              <w:t>2001</w:t>
            </w:r>
          </w:p>
        </w:tc>
        <w:tc>
          <w:tcPr>
            <w:tcW w:type="dxa" w:w="2268"/>
            <w:tcBorders>
              <w:top w:val="single" w:sz="4" w:color="000000"/>
              <w:left w:val="single" w:sz="4" w:color="000000"/>
              <w:bottom w:val="single" w:sz="4" w:color="000000"/>
              <w:right w:val="single" w:sz="4" w:color="000000"/>
            </w:tcBorders>
          </w:tcPr>
          <w:p>
            <w:pPr>
              <w:jc w:val="center"/>
            </w:pPr>
            <w:r>
              <w:t>54.41</w:t>
            </w:r>
          </w:p>
        </w:tc>
        <w:tc>
          <w:tcPr>
            <w:tcW w:type="dxa" w:w="2268"/>
            <w:tcBorders>
              <w:top w:val="single" w:sz="4" w:color="000000"/>
              <w:left w:val="single" w:sz="4" w:color="000000"/>
              <w:bottom w:val="single" w:sz="4" w:color="000000"/>
              <w:right w:val="single" w:sz="4" w:color="000000"/>
            </w:tcBorders>
          </w:tcPr>
          <w:p>
            <w:pPr>
              <w:jc w:val="center"/>
            </w:pPr>
            <w:r>
              <w:t>0.81</w:t>
            </w:r>
          </w:p>
        </w:tc>
        <w:tc>
          <w:tcPr>
            <w:tcW w:type="dxa" w:w="2268"/>
            <w:tcBorders>
              <w:top w:val="single" w:sz="4" w:color="000000"/>
              <w:left w:val="single" w:sz="4" w:color="000000"/>
              <w:bottom w:val="single" w:sz="4" w:color="000000"/>
              <w:right w:val="single" w:sz="4" w:color="000000"/>
            </w:tcBorders>
          </w:tcPr>
          <w:p>
            <w:pPr>
              <w:jc w:val="center"/>
            </w:pPr>
            <w:r>
              <w:t>61.92</w:t>
            </w:r>
          </w:p>
        </w:tc>
      </w:tr>
      <w:tr>
        <w:tc>
          <w:tcPr>
            <w:tcW w:type="dxa" w:w="2268"/>
            <w:tcBorders>
              <w:top w:val="single" w:sz="4" w:color="000000"/>
              <w:left w:val="single" w:sz="4" w:color="000000"/>
              <w:bottom w:val="single" w:sz="4" w:color="000000"/>
              <w:right w:val="single" w:sz="4" w:color="000000"/>
            </w:tcBorders>
          </w:tcPr>
          <w:p>
            <w:pPr>
              <w:jc w:val="center"/>
            </w:pPr>
            <w:r>
              <w:t>2015</w:t>
            </w:r>
          </w:p>
        </w:tc>
        <w:tc>
          <w:tcPr>
            <w:tcW w:type="dxa" w:w="2268"/>
            <w:tcBorders>
              <w:top w:val="single" w:sz="4" w:color="000000"/>
              <w:left w:val="single" w:sz="4" w:color="000000"/>
              <w:bottom w:val="single" w:sz="4" w:color="000000"/>
              <w:right w:val="single" w:sz="4" w:color="000000"/>
            </w:tcBorders>
          </w:tcPr>
          <w:p>
            <w:pPr>
              <w:jc w:val="center"/>
            </w:pPr>
            <w:r>
              <w:t>39.74</w:t>
            </w:r>
          </w:p>
        </w:tc>
        <w:tc>
          <w:tcPr>
            <w:tcW w:type="dxa" w:w="2268"/>
            <w:tcBorders>
              <w:top w:val="single" w:sz="4" w:color="000000"/>
              <w:left w:val="single" w:sz="4" w:color="000000"/>
              <w:bottom w:val="single" w:sz="4" w:color="000000"/>
              <w:right w:val="single" w:sz="4" w:color="000000"/>
            </w:tcBorders>
          </w:tcPr>
          <w:p>
            <w:pPr>
              <w:jc w:val="center"/>
            </w:pPr>
            <w:r>
              <w:t>1.01</w:t>
            </w:r>
          </w:p>
        </w:tc>
        <w:tc>
          <w:tcPr>
            <w:tcW w:type="dxa" w:w="2268"/>
            <w:tcBorders>
              <w:top w:val="single" w:sz="4" w:color="000000"/>
              <w:left w:val="single" w:sz="4" w:color="000000"/>
              <w:bottom w:val="single" w:sz="4" w:color="000000"/>
              <w:right w:val="single" w:sz="4" w:color="000000"/>
            </w:tcBorders>
          </w:tcPr>
          <w:p>
            <w:pPr>
              <w:jc w:val="center"/>
            </w:pPr>
            <w:r>
              <w:t>76.38</w:t>
            </w:r>
          </w:p>
        </w:tc>
      </w:tr>
      <w:tr>
        <w:tc>
          <w:tcPr>
            <w:tcW w:type="dxa" w:w="2268"/>
            <w:tcBorders>
              <w:top w:val="single" w:sz="4" w:color="000000"/>
              <w:left w:val="single" w:sz="4" w:color="000000"/>
              <w:bottom w:val="single" w:sz="4" w:color="000000"/>
              <w:right w:val="single" w:sz="4" w:color="000000"/>
            </w:tcBorders>
          </w:tcPr>
          <w:p>
            <w:pPr>
              <w:jc w:val="center"/>
            </w:pPr>
            <w:r>
              <w:t>2025</w:t>
            </w:r>
          </w:p>
        </w:tc>
        <w:tc>
          <w:tcPr>
            <w:tcW w:type="dxa" w:w="2268"/>
            <w:tcBorders>
              <w:top w:val="single" w:sz="4" w:color="000000"/>
              <w:left w:val="single" w:sz="4" w:color="000000"/>
              <w:bottom w:val="single" w:sz="4" w:color="000000"/>
              <w:right w:val="single" w:sz="4" w:color="000000"/>
            </w:tcBorders>
          </w:tcPr>
          <w:p>
            <w:pPr>
              <w:jc w:val="center"/>
            </w:pPr>
            <w:r>
              <w:t>53.34</w:t>
            </w:r>
          </w:p>
        </w:tc>
        <w:tc>
          <w:tcPr>
            <w:tcW w:type="dxa" w:w="2268"/>
            <w:tcBorders>
              <w:top w:val="single" w:sz="4" w:color="000000"/>
              <w:left w:val="single" w:sz="4" w:color="000000"/>
              <w:bottom w:val="single" w:sz="4" w:color="000000"/>
              <w:right w:val="single" w:sz="4" w:color="000000"/>
            </w:tcBorders>
          </w:tcPr>
          <w:p>
            <w:pPr>
              <w:jc w:val="center"/>
            </w:pPr>
            <w:r>
              <w:t>0.99</w:t>
            </w:r>
          </w:p>
        </w:tc>
        <w:tc>
          <w:tcPr>
            <w:tcW w:type="dxa" w:w="2268"/>
            <w:tcBorders>
              <w:top w:val="single" w:sz="4" w:color="000000"/>
              <w:left w:val="single" w:sz="4" w:color="000000"/>
              <w:bottom w:val="single" w:sz="4" w:color="000000"/>
              <w:right w:val="single" w:sz="4" w:color="000000"/>
            </w:tcBorders>
          </w:tcPr>
          <w:p>
            <w:pPr>
              <w:jc w:val="center"/>
            </w:pPr>
            <w:r>
              <w:t>62.80</w:t>
            </w:r>
          </w:p>
        </w:tc>
      </w:tr>
    </w:tbl>
    <w:p/>
    <w:p>
      <w:r>
        <w:rPr>
          <w:i/>
          <w:sz w:val="18"/>
        </w:rPr>
        <w:t>Table 5: LULC area (km²) by class and year — Muni-Pomadze.</w:t>
      </w:r>
    </w:p>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color="000000"/>
              <w:left w:val="single" w:sz="4" w:color="000000"/>
              <w:bottom w:val="single" w:sz="4" w:color="000000"/>
              <w:right w:val="single" w:sz="4" w:color="000000"/>
            </w:tcBorders>
          </w:tcPr>
          <w:p>
            <w:pPr>
              <w:jc w:val="center"/>
            </w:pPr>
            <w:r>
              <w:rPr>
                <w:b/>
              </w:rPr>
              <w:t>Period</w:t>
            </w:r>
          </w:p>
        </w:tc>
        <w:tc>
          <w:tcPr>
            <w:tcW w:type="dxa" w:w="1296"/>
            <w:tcBorders>
              <w:top w:val="single" w:sz="4" w:color="000000"/>
              <w:left w:val="single" w:sz="4" w:color="000000"/>
              <w:bottom w:val="single" w:sz="4" w:color="000000"/>
              <w:right w:val="single" w:sz="4" w:color="000000"/>
            </w:tcBorders>
          </w:tcPr>
          <w:p>
            <w:pPr>
              <w:jc w:val="center"/>
            </w:pPr>
            <w:r>
              <w:rPr>
                <w:b/>
              </w:rPr>
              <w:t>Veg Δkm²</w:t>
            </w:r>
          </w:p>
        </w:tc>
        <w:tc>
          <w:tcPr>
            <w:tcW w:type="dxa" w:w="1296"/>
            <w:tcBorders>
              <w:top w:val="single" w:sz="4" w:color="000000"/>
              <w:left w:val="single" w:sz="4" w:color="000000"/>
              <w:bottom w:val="single" w:sz="4" w:color="000000"/>
              <w:right w:val="single" w:sz="4" w:color="000000"/>
            </w:tcBorders>
          </w:tcPr>
          <w:p>
            <w:pPr>
              <w:jc w:val="center"/>
            </w:pPr>
            <w:r>
              <w:rPr>
                <w:b/>
              </w:rPr>
              <w:t>Veg Δ%</w:t>
            </w:r>
          </w:p>
        </w:tc>
        <w:tc>
          <w:tcPr>
            <w:tcW w:type="dxa" w:w="1296"/>
            <w:tcBorders>
              <w:top w:val="single" w:sz="4" w:color="000000"/>
              <w:left w:val="single" w:sz="4" w:color="000000"/>
              <w:bottom w:val="single" w:sz="4" w:color="000000"/>
              <w:right w:val="single" w:sz="4" w:color="000000"/>
            </w:tcBorders>
          </w:tcPr>
          <w:p>
            <w:pPr>
              <w:jc w:val="center"/>
            </w:pPr>
            <w:r>
              <w:rPr>
                <w:b/>
              </w:rPr>
              <w:t>Wat Δkm²</w:t>
            </w:r>
          </w:p>
        </w:tc>
        <w:tc>
          <w:tcPr>
            <w:tcW w:type="dxa" w:w="1296"/>
            <w:tcBorders>
              <w:top w:val="single" w:sz="4" w:color="000000"/>
              <w:left w:val="single" w:sz="4" w:color="000000"/>
              <w:bottom w:val="single" w:sz="4" w:color="000000"/>
              <w:right w:val="single" w:sz="4" w:color="000000"/>
            </w:tcBorders>
          </w:tcPr>
          <w:p>
            <w:pPr>
              <w:jc w:val="center"/>
            </w:pPr>
            <w:r>
              <w:rPr>
                <w:b/>
              </w:rPr>
              <w:t>Wat Δ%</w:t>
            </w:r>
          </w:p>
        </w:tc>
        <w:tc>
          <w:tcPr>
            <w:tcW w:type="dxa" w:w="1296"/>
            <w:tcBorders>
              <w:top w:val="single" w:sz="4" w:color="000000"/>
              <w:left w:val="single" w:sz="4" w:color="000000"/>
              <w:bottom w:val="single" w:sz="4" w:color="000000"/>
              <w:right w:val="single" w:sz="4" w:color="000000"/>
            </w:tcBorders>
          </w:tcPr>
          <w:p>
            <w:pPr>
              <w:jc w:val="center"/>
            </w:pPr>
            <w:r>
              <w:rPr>
                <w:b/>
              </w:rPr>
              <w:t>Bui Δkm²</w:t>
            </w:r>
          </w:p>
        </w:tc>
        <w:tc>
          <w:tcPr>
            <w:tcW w:type="dxa" w:w="1296"/>
            <w:tcBorders>
              <w:top w:val="single" w:sz="4" w:color="000000"/>
              <w:left w:val="single" w:sz="4" w:color="000000"/>
              <w:bottom w:val="single" w:sz="4" w:color="000000"/>
              <w:right w:val="single" w:sz="4" w:color="000000"/>
            </w:tcBorders>
          </w:tcPr>
          <w:p>
            <w:pPr>
              <w:jc w:val="center"/>
            </w:pPr>
            <w:r>
              <w:rPr>
                <w:b/>
              </w:rPr>
              <w:t>Bui Δ%</w:t>
            </w:r>
          </w:p>
        </w:tc>
      </w:tr>
      <w:tr>
        <w:tc>
          <w:tcPr>
            <w:tcW w:type="dxa" w:w="1296"/>
            <w:tcBorders>
              <w:top w:val="single" w:sz="4" w:color="000000"/>
              <w:left w:val="single" w:sz="4" w:color="000000"/>
              <w:bottom w:val="single" w:sz="4" w:color="000000"/>
              <w:right w:val="single" w:sz="4" w:color="000000"/>
            </w:tcBorders>
          </w:tcPr>
          <w:p>
            <w:pPr>
              <w:jc w:val="center"/>
            </w:pPr>
            <w:r>
              <w:t>1991–2001</w:t>
            </w:r>
          </w:p>
        </w:tc>
        <w:tc>
          <w:tcPr>
            <w:tcW w:type="dxa" w:w="1296"/>
            <w:tcBorders>
              <w:top w:val="single" w:sz="4" w:color="000000"/>
              <w:left w:val="single" w:sz="4" w:color="000000"/>
              <w:bottom w:val="single" w:sz="4" w:color="000000"/>
              <w:right w:val="single" w:sz="4" w:color="000000"/>
            </w:tcBorders>
          </w:tcPr>
          <w:p>
            <w:pPr>
              <w:jc w:val="center"/>
            </w:pPr>
            <w:r>
              <w:t>-6.36</w:t>
            </w:r>
          </w:p>
        </w:tc>
        <w:tc>
          <w:tcPr>
            <w:tcW w:type="dxa" w:w="1296"/>
            <w:tcBorders>
              <w:top w:val="single" w:sz="4" w:color="000000"/>
              <w:left w:val="single" w:sz="4" w:color="000000"/>
              <w:bottom w:val="single" w:sz="4" w:color="000000"/>
              <w:right w:val="single" w:sz="4" w:color="000000"/>
            </w:tcBorders>
          </w:tcPr>
          <w:p>
            <w:pPr>
              <w:jc w:val="center"/>
            </w:pPr>
            <w:r>
              <w:t>-10.5</w:t>
            </w:r>
          </w:p>
        </w:tc>
        <w:tc>
          <w:tcPr>
            <w:tcW w:type="dxa" w:w="1296"/>
            <w:tcBorders>
              <w:top w:val="single" w:sz="4" w:color="000000"/>
              <w:left w:val="single" w:sz="4" w:color="000000"/>
              <w:bottom w:val="single" w:sz="4" w:color="000000"/>
              <w:right w:val="single" w:sz="4" w:color="000000"/>
            </w:tcBorders>
          </w:tcPr>
          <w:p>
            <w:pPr>
              <w:jc w:val="center"/>
            </w:pPr>
            <w:r>
              <w:t>-0.75</w:t>
            </w:r>
          </w:p>
        </w:tc>
        <w:tc>
          <w:tcPr>
            <w:tcW w:type="dxa" w:w="1296"/>
            <w:tcBorders>
              <w:top w:val="single" w:sz="4" w:color="000000"/>
              <w:left w:val="single" w:sz="4" w:color="000000"/>
              <w:bottom w:val="single" w:sz="4" w:color="000000"/>
              <w:right w:val="single" w:sz="4" w:color="000000"/>
            </w:tcBorders>
          </w:tcPr>
          <w:p>
            <w:pPr>
              <w:jc w:val="center"/>
            </w:pPr>
            <w:r>
              <w:t>-48.2</w:t>
            </w:r>
          </w:p>
        </w:tc>
        <w:tc>
          <w:tcPr>
            <w:tcW w:type="dxa" w:w="1296"/>
            <w:tcBorders>
              <w:top w:val="single" w:sz="4" w:color="000000"/>
              <w:left w:val="single" w:sz="4" w:color="000000"/>
              <w:bottom w:val="single" w:sz="4" w:color="000000"/>
              <w:right w:val="single" w:sz="4" w:color="000000"/>
            </w:tcBorders>
          </w:tcPr>
          <w:p>
            <w:pPr>
              <w:jc w:val="center"/>
            </w:pPr>
            <w:r>
              <w:t>+6.33</w:t>
            </w:r>
          </w:p>
        </w:tc>
        <w:tc>
          <w:tcPr>
            <w:tcW w:type="dxa" w:w="1296"/>
            <w:tcBorders>
              <w:top w:val="single" w:sz="4" w:color="000000"/>
              <w:left w:val="single" w:sz="4" w:color="000000"/>
              <w:bottom w:val="single" w:sz="4" w:color="000000"/>
              <w:right w:val="single" w:sz="4" w:color="000000"/>
            </w:tcBorders>
          </w:tcPr>
          <w:p>
            <w:pPr>
              <w:jc w:val="center"/>
            </w:pPr>
            <w:r>
              <w:t>+11.4</w:t>
            </w:r>
          </w:p>
        </w:tc>
      </w:tr>
      <w:tr>
        <w:tc>
          <w:tcPr>
            <w:tcW w:type="dxa" w:w="1296"/>
            <w:tcBorders>
              <w:top w:val="single" w:sz="4" w:color="000000"/>
              <w:left w:val="single" w:sz="4" w:color="000000"/>
              <w:bottom w:val="single" w:sz="4" w:color="000000"/>
              <w:right w:val="single" w:sz="4" w:color="000000"/>
            </w:tcBorders>
          </w:tcPr>
          <w:p>
            <w:pPr>
              <w:jc w:val="center"/>
            </w:pPr>
            <w:r>
              <w:t>2001–2015</w:t>
            </w:r>
          </w:p>
        </w:tc>
        <w:tc>
          <w:tcPr>
            <w:tcW w:type="dxa" w:w="1296"/>
            <w:tcBorders>
              <w:top w:val="single" w:sz="4" w:color="000000"/>
              <w:left w:val="single" w:sz="4" w:color="000000"/>
              <w:bottom w:val="single" w:sz="4" w:color="000000"/>
              <w:right w:val="single" w:sz="4" w:color="000000"/>
            </w:tcBorders>
          </w:tcPr>
          <w:p>
            <w:pPr>
              <w:jc w:val="center"/>
            </w:pPr>
            <w:r>
              <w:t>-14.67</w:t>
            </w:r>
          </w:p>
        </w:tc>
        <w:tc>
          <w:tcPr>
            <w:tcW w:type="dxa" w:w="1296"/>
            <w:tcBorders>
              <w:top w:val="single" w:sz="4" w:color="000000"/>
              <w:left w:val="single" w:sz="4" w:color="000000"/>
              <w:bottom w:val="single" w:sz="4" w:color="000000"/>
              <w:right w:val="single" w:sz="4" w:color="000000"/>
            </w:tcBorders>
          </w:tcPr>
          <w:p>
            <w:pPr>
              <w:jc w:val="center"/>
            </w:pPr>
            <w:r>
              <w:t>-27.0</w:t>
            </w:r>
          </w:p>
        </w:tc>
        <w:tc>
          <w:tcPr>
            <w:tcW w:type="dxa" w:w="1296"/>
            <w:tcBorders>
              <w:top w:val="single" w:sz="4" w:color="000000"/>
              <w:left w:val="single" w:sz="4" w:color="000000"/>
              <w:bottom w:val="single" w:sz="4" w:color="000000"/>
              <w:right w:val="single" w:sz="4" w:color="000000"/>
            </w:tcBorders>
          </w:tcPr>
          <w:p>
            <w:pPr>
              <w:jc w:val="center"/>
            </w:pPr>
            <w:r>
              <w:t>+0.20</w:t>
            </w:r>
          </w:p>
        </w:tc>
        <w:tc>
          <w:tcPr>
            <w:tcW w:type="dxa" w:w="1296"/>
            <w:tcBorders>
              <w:top w:val="single" w:sz="4" w:color="000000"/>
              <w:left w:val="single" w:sz="4" w:color="000000"/>
              <w:bottom w:val="single" w:sz="4" w:color="000000"/>
              <w:right w:val="single" w:sz="4" w:color="000000"/>
            </w:tcBorders>
          </w:tcPr>
          <w:p>
            <w:pPr>
              <w:jc w:val="center"/>
            </w:pPr>
            <w:r>
              <w:t>+25.1</w:t>
            </w:r>
          </w:p>
        </w:tc>
        <w:tc>
          <w:tcPr>
            <w:tcW w:type="dxa" w:w="1296"/>
            <w:tcBorders>
              <w:top w:val="single" w:sz="4" w:color="000000"/>
              <w:left w:val="single" w:sz="4" w:color="000000"/>
              <w:bottom w:val="single" w:sz="4" w:color="000000"/>
              <w:right w:val="single" w:sz="4" w:color="000000"/>
            </w:tcBorders>
          </w:tcPr>
          <w:p>
            <w:pPr>
              <w:jc w:val="center"/>
            </w:pPr>
            <w:r>
              <w:t>+14.46</w:t>
            </w:r>
          </w:p>
        </w:tc>
        <w:tc>
          <w:tcPr>
            <w:tcW w:type="dxa" w:w="1296"/>
            <w:tcBorders>
              <w:top w:val="single" w:sz="4" w:color="000000"/>
              <w:left w:val="single" w:sz="4" w:color="000000"/>
              <w:bottom w:val="single" w:sz="4" w:color="000000"/>
              <w:right w:val="single" w:sz="4" w:color="000000"/>
            </w:tcBorders>
          </w:tcPr>
          <w:p>
            <w:pPr>
              <w:jc w:val="center"/>
            </w:pPr>
            <w:r>
              <w:t>+23.3</w:t>
            </w:r>
          </w:p>
        </w:tc>
      </w:tr>
      <w:tr>
        <w:tc>
          <w:tcPr>
            <w:tcW w:type="dxa" w:w="1296"/>
            <w:tcBorders>
              <w:top w:val="single" w:sz="4" w:color="000000"/>
              <w:left w:val="single" w:sz="4" w:color="000000"/>
              <w:bottom w:val="single" w:sz="4" w:color="000000"/>
              <w:right w:val="single" w:sz="4" w:color="000000"/>
            </w:tcBorders>
          </w:tcPr>
          <w:p>
            <w:pPr>
              <w:jc w:val="center"/>
            </w:pPr>
            <w:r>
              <w:t>2015–2025</w:t>
            </w:r>
          </w:p>
        </w:tc>
        <w:tc>
          <w:tcPr>
            <w:tcW w:type="dxa" w:w="1296"/>
            <w:tcBorders>
              <w:top w:val="single" w:sz="4" w:color="000000"/>
              <w:left w:val="single" w:sz="4" w:color="000000"/>
              <w:bottom w:val="single" w:sz="4" w:color="000000"/>
              <w:right w:val="single" w:sz="4" w:color="000000"/>
            </w:tcBorders>
          </w:tcPr>
          <w:p>
            <w:pPr>
              <w:jc w:val="center"/>
            </w:pPr>
            <w:r>
              <w:t>+13.60</w:t>
            </w:r>
          </w:p>
        </w:tc>
        <w:tc>
          <w:tcPr>
            <w:tcW w:type="dxa" w:w="1296"/>
            <w:tcBorders>
              <w:top w:val="single" w:sz="4" w:color="000000"/>
              <w:left w:val="single" w:sz="4" w:color="000000"/>
              <w:bottom w:val="single" w:sz="4" w:color="000000"/>
              <w:right w:val="single" w:sz="4" w:color="000000"/>
            </w:tcBorders>
          </w:tcPr>
          <w:p>
            <w:pPr>
              <w:jc w:val="center"/>
            </w:pPr>
            <w:r>
              <w:t>+34.2</w:t>
            </w:r>
          </w:p>
        </w:tc>
        <w:tc>
          <w:tcPr>
            <w:tcW w:type="dxa" w:w="1296"/>
            <w:tcBorders>
              <w:top w:val="single" w:sz="4" w:color="000000"/>
              <w:left w:val="single" w:sz="4" w:color="000000"/>
              <w:bottom w:val="single" w:sz="4" w:color="000000"/>
              <w:right w:val="single" w:sz="4" w:color="000000"/>
            </w:tcBorders>
          </w:tcPr>
          <w:p>
            <w:pPr>
              <w:jc w:val="center"/>
            </w:pPr>
            <w:r>
              <w:t>-0.03</w:t>
            </w:r>
          </w:p>
        </w:tc>
        <w:tc>
          <w:tcPr>
            <w:tcW w:type="dxa" w:w="1296"/>
            <w:tcBorders>
              <w:top w:val="single" w:sz="4" w:color="000000"/>
              <w:left w:val="single" w:sz="4" w:color="000000"/>
              <w:bottom w:val="single" w:sz="4" w:color="000000"/>
              <w:right w:val="single" w:sz="4" w:color="000000"/>
            </w:tcBorders>
          </w:tcPr>
          <w:p>
            <w:pPr>
              <w:jc w:val="center"/>
            </w:pPr>
            <w:r>
              <w:t>-2.7</w:t>
            </w:r>
          </w:p>
        </w:tc>
        <w:tc>
          <w:tcPr>
            <w:tcW w:type="dxa" w:w="1296"/>
            <w:tcBorders>
              <w:top w:val="single" w:sz="4" w:color="000000"/>
              <w:left w:val="single" w:sz="4" w:color="000000"/>
              <w:bottom w:val="single" w:sz="4" w:color="000000"/>
              <w:right w:val="single" w:sz="4" w:color="000000"/>
            </w:tcBorders>
          </w:tcPr>
          <w:p>
            <w:pPr>
              <w:jc w:val="center"/>
            </w:pPr>
            <w:r>
              <w:t>-13.57</w:t>
            </w:r>
          </w:p>
        </w:tc>
        <w:tc>
          <w:tcPr>
            <w:tcW w:type="dxa" w:w="1296"/>
            <w:tcBorders>
              <w:top w:val="single" w:sz="4" w:color="000000"/>
              <w:left w:val="single" w:sz="4" w:color="000000"/>
              <w:bottom w:val="single" w:sz="4" w:color="000000"/>
              <w:right w:val="single" w:sz="4" w:color="000000"/>
            </w:tcBorders>
          </w:tcPr>
          <w:p>
            <w:pPr>
              <w:jc w:val="center"/>
            </w:pPr>
            <w:r>
              <w:t>-17.8</w:t>
            </w:r>
          </w:p>
        </w:tc>
      </w:tr>
      <w:tr>
        <w:tc>
          <w:tcPr>
            <w:tcW w:type="dxa" w:w="1296"/>
            <w:tcBorders>
              <w:top w:val="single" w:sz="4" w:color="000000"/>
              <w:left w:val="single" w:sz="4" w:color="000000"/>
              <w:bottom w:val="single" w:sz="4" w:color="000000"/>
              <w:right w:val="single" w:sz="4" w:color="000000"/>
            </w:tcBorders>
          </w:tcPr>
          <w:p>
            <w:pPr>
              <w:jc w:val="center"/>
            </w:pPr>
            <w:r>
              <w:t>1991–2025</w:t>
            </w:r>
          </w:p>
        </w:tc>
        <w:tc>
          <w:tcPr>
            <w:tcW w:type="dxa" w:w="1296"/>
            <w:tcBorders>
              <w:top w:val="single" w:sz="4" w:color="000000"/>
              <w:left w:val="single" w:sz="4" w:color="000000"/>
              <w:bottom w:val="single" w:sz="4" w:color="000000"/>
              <w:right w:val="single" w:sz="4" w:color="000000"/>
            </w:tcBorders>
          </w:tcPr>
          <w:p>
            <w:pPr>
              <w:jc w:val="center"/>
            </w:pPr>
            <w:r>
              <w:t>-7.43</w:t>
            </w:r>
          </w:p>
        </w:tc>
        <w:tc>
          <w:tcPr>
            <w:tcW w:type="dxa" w:w="1296"/>
            <w:tcBorders>
              <w:top w:val="single" w:sz="4" w:color="000000"/>
              <w:left w:val="single" w:sz="4" w:color="000000"/>
              <w:bottom w:val="single" w:sz="4" w:color="000000"/>
              <w:right w:val="single" w:sz="4" w:color="000000"/>
            </w:tcBorders>
          </w:tcPr>
          <w:p>
            <w:pPr>
              <w:jc w:val="center"/>
            </w:pPr>
            <w:r>
              <w:t>-12.2</w:t>
            </w:r>
          </w:p>
        </w:tc>
        <w:tc>
          <w:tcPr>
            <w:tcW w:type="dxa" w:w="1296"/>
            <w:tcBorders>
              <w:top w:val="single" w:sz="4" w:color="000000"/>
              <w:left w:val="single" w:sz="4" w:color="000000"/>
              <w:bottom w:val="single" w:sz="4" w:color="000000"/>
              <w:right w:val="single" w:sz="4" w:color="000000"/>
            </w:tcBorders>
          </w:tcPr>
          <w:p>
            <w:pPr>
              <w:jc w:val="center"/>
            </w:pPr>
            <w:r>
              <w:t>-0.58</w:t>
            </w:r>
          </w:p>
        </w:tc>
        <w:tc>
          <w:tcPr>
            <w:tcW w:type="dxa" w:w="1296"/>
            <w:tcBorders>
              <w:top w:val="single" w:sz="4" w:color="000000"/>
              <w:left w:val="single" w:sz="4" w:color="000000"/>
              <w:bottom w:val="single" w:sz="4" w:color="000000"/>
              <w:right w:val="single" w:sz="4" w:color="000000"/>
            </w:tcBorders>
          </w:tcPr>
          <w:p>
            <w:pPr>
              <w:jc w:val="center"/>
            </w:pPr>
            <w:r>
              <w:t>-36.9</w:t>
            </w:r>
          </w:p>
        </w:tc>
        <w:tc>
          <w:tcPr>
            <w:tcW w:type="dxa" w:w="1296"/>
            <w:tcBorders>
              <w:top w:val="single" w:sz="4" w:color="000000"/>
              <w:left w:val="single" w:sz="4" w:color="000000"/>
              <w:bottom w:val="single" w:sz="4" w:color="000000"/>
              <w:right w:val="single" w:sz="4" w:color="000000"/>
            </w:tcBorders>
          </w:tcPr>
          <w:p>
            <w:pPr>
              <w:jc w:val="center"/>
            </w:pPr>
            <w:r>
              <w:t>+7.21</w:t>
            </w:r>
          </w:p>
        </w:tc>
        <w:tc>
          <w:tcPr>
            <w:tcW w:type="dxa" w:w="1296"/>
            <w:tcBorders>
              <w:top w:val="single" w:sz="4" w:color="000000"/>
              <w:left w:val="single" w:sz="4" w:color="000000"/>
              <w:bottom w:val="single" w:sz="4" w:color="000000"/>
              <w:right w:val="single" w:sz="4" w:color="000000"/>
            </w:tcBorders>
          </w:tcPr>
          <w:p>
            <w:pPr>
              <w:jc w:val="center"/>
            </w:pPr>
            <w:r>
              <w:t>+13.0</w:t>
            </w:r>
          </w:p>
        </w:tc>
      </w:tr>
    </w:tbl>
    <w:p/>
    <w:p>
      <w:r>
        <w:rPr>
          <w:i/>
          <w:sz w:val="18"/>
        </w:rPr>
        <w:t>Table 6: Net LULC change by period — Muni-Pomadze.</w:t>
      </w:r>
    </w:p>
    <w:p/>
    <w:p>
      <w:pPr>
        <w:jc w:val="center"/>
      </w:pPr>
      <w:r>
        <w:drawing>
          <wp:inline xmlns:a="http://schemas.openxmlformats.org/drawingml/2006/main" xmlns:pic="http://schemas.openxmlformats.org/drawingml/2006/picture">
            <wp:extent cx="5400000" cy="3213831"/>
            <wp:docPr id="11" name="Picture 11"/>
            <wp:cNvGraphicFramePr>
              <a:graphicFrameLocks noChangeAspect="1"/>
            </wp:cNvGraphicFramePr>
            <a:graphic>
              <a:graphicData uri="http://schemas.openxmlformats.org/drawingml/2006/picture">
                <pic:pic>
                  <pic:nvPicPr>
                    <pic:cNvPr id="0" name="muni_area_bar.png"/>
                    <pic:cNvPicPr/>
                  </pic:nvPicPr>
                  <pic:blipFill>
                    <a:blip r:embed="rId19"/>
                    <a:stretch>
                      <a:fillRect/>
                    </a:stretch>
                  </pic:blipFill>
                  <pic:spPr>
                    <a:xfrm>
                      <a:off x="0" y="0"/>
                      <a:ext cx="5400000" cy="3213831"/>
                    </a:xfrm>
                    <a:prstGeom prst="rect"/>
                  </pic:spPr>
                </pic:pic>
              </a:graphicData>
            </a:graphic>
          </wp:inline>
        </w:drawing>
      </w:r>
    </w:p>
    <w:p>
      <w:pPr>
        <w:jc w:val="center"/>
      </w:pPr>
      <w:r>
        <w:rPr>
          <w:i/>
          <w:sz w:val="18"/>
        </w:rPr>
        <w:t>Figure: Muni-Pomadze — LULC area by class and year (grouped bar).</w:t>
      </w:r>
    </w:p>
    <w:p/>
    <w:p>
      <w:pPr>
        <w:jc w:val="center"/>
      </w:pPr>
      <w:r>
        <w:drawing>
          <wp:inline xmlns:a="http://schemas.openxmlformats.org/drawingml/2006/main" xmlns:pic="http://schemas.openxmlformats.org/drawingml/2006/picture">
            <wp:extent cx="5400000" cy="2965301"/>
            <wp:docPr id="12" name="Picture 12"/>
            <wp:cNvGraphicFramePr>
              <a:graphicFrameLocks noChangeAspect="1"/>
            </wp:cNvGraphicFramePr>
            <a:graphic>
              <a:graphicData uri="http://schemas.openxmlformats.org/drawingml/2006/picture">
                <pic:pic>
                  <pic:nvPicPr>
                    <pic:cNvPr id="0" name="muni_area_trend.png"/>
                    <pic:cNvPicPr/>
                  </pic:nvPicPr>
                  <pic:blipFill>
                    <a:blip r:embed="rId20"/>
                    <a:stretch>
                      <a:fillRect/>
                    </a:stretch>
                  </pic:blipFill>
                  <pic:spPr>
                    <a:xfrm>
                      <a:off x="0" y="0"/>
                      <a:ext cx="5400000" cy="2965301"/>
                    </a:xfrm>
                    <a:prstGeom prst="rect"/>
                  </pic:spPr>
                </pic:pic>
              </a:graphicData>
            </a:graphic>
          </wp:inline>
        </w:drawing>
      </w:r>
    </w:p>
    <w:p>
      <w:pPr>
        <w:jc w:val="center"/>
      </w:pPr>
      <w:r>
        <w:rPr>
          <w:i/>
          <w:sz w:val="18"/>
        </w:rPr>
        <w:t>Figure: Muni-Pomadze — LULC area trend lines 1991–2025.</w:t>
      </w:r>
    </w:p>
    <w:p/>
    <w:p>
      <w:pPr>
        <w:pStyle w:val="Heading2"/>
      </w:pPr>
      <w:r>
        <w:t>2.3 CA-Markov Future Prediction (2035)</w:t>
      </w:r>
    </w:p>
    <w:p>
      <w:r>
        <w:t>Transition probability matrices derived from 2015–2025 were used to project LULC to 2035. The following tables and figures present the TPMs and predicted maps.</w:t>
      </w:r>
    </w:p>
    <w:p>
      <w:pPr>
        <w:pStyle w:val="Heading3"/>
      </w:pPr>
      <w:r>
        <w:t>2.3.1  Keta Lagoon Complex</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color="000000"/>
              <w:left w:val="single" w:sz="4" w:color="000000"/>
              <w:bottom w:val="single" w:sz="4" w:color="000000"/>
              <w:right w:val="single" w:sz="4" w:color="000000"/>
            </w:tcBorders>
          </w:tcPr>
          <w:p>
            <w:pPr>
              <w:jc w:val="center"/>
            </w:pPr>
            <w:r>
              <w:rPr>
                <w:b/>
              </w:rPr>
              <w:t>From \ To</w:t>
            </w:r>
          </w:p>
        </w:tc>
        <w:tc>
          <w:tcPr>
            <w:tcW w:type="dxa" w:w="2268"/>
            <w:tcBorders>
              <w:top w:val="single" w:sz="4" w:color="000000"/>
              <w:left w:val="single" w:sz="4" w:color="000000"/>
              <w:bottom w:val="single" w:sz="4" w:color="000000"/>
              <w:right w:val="single" w:sz="4" w:color="000000"/>
            </w:tcBorders>
          </w:tcPr>
          <w:p>
            <w:pPr>
              <w:jc w:val="center"/>
            </w:pPr>
            <w:r>
              <w:rPr>
                <w:b/>
              </w:rPr>
              <w:t>Vegetation</w:t>
            </w:r>
          </w:p>
        </w:tc>
        <w:tc>
          <w:tcPr>
            <w:tcW w:type="dxa" w:w="2268"/>
            <w:tcBorders>
              <w:top w:val="single" w:sz="4" w:color="000000"/>
              <w:left w:val="single" w:sz="4" w:color="000000"/>
              <w:bottom w:val="single" w:sz="4" w:color="000000"/>
              <w:right w:val="single" w:sz="4" w:color="000000"/>
            </w:tcBorders>
          </w:tcPr>
          <w:p>
            <w:pPr>
              <w:jc w:val="center"/>
            </w:pPr>
            <w:r>
              <w:rPr>
                <w:b/>
              </w:rPr>
              <w:t>Water body</w:t>
            </w:r>
          </w:p>
        </w:tc>
        <w:tc>
          <w:tcPr>
            <w:tcW w:type="dxa" w:w="2268"/>
            <w:tcBorders>
              <w:top w:val="single" w:sz="4" w:color="000000"/>
              <w:left w:val="single" w:sz="4" w:color="000000"/>
              <w:bottom w:val="single" w:sz="4" w:color="000000"/>
              <w:right w:val="single" w:sz="4" w:color="000000"/>
            </w:tcBorders>
          </w:tcPr>
          <w:p>
            <w:pPr>
              <w:jc w:val="center"/>
            </w:pPr>
            <w:r>
              <w:rPr>
                <w:b/>
              </w:rPr>
              <w:t>Built up/Bareland</w:t>
            </w:r>
          </w:p>
        </w:tc>
      </w:tr>
      <w:tr>
        <w:tc>
          <w:tcPr>
            <w:tcW w:type="dxa" w:w="2268"/>
            <w:tcBorders>
              <w:top w:val="single" w:sz="4" w:color="000000"/>
              <w:left w:val="single" w:sz="4" w:color="000000"/>
              <w:bottom w:val="single" w:sz="4" w:color="000000"/>
              <w:right w:val="single" w:sz="4" w:color="000000"/>
            </w:tcBorders>
          </w:tcPr>
          <w:p>
            <w:pPr>
              <w:jc w:val="center"/>
            </w:pPr>
            <w:r>
              <w:t>Vegetation</w:t>
            </w:r>
          </w:p>
        </w:tc>
        <w:tc>
          <w:tcPr>
            <w:tcW w:type="dxa" w:w="2268"/>
            <w:tcBorders>
              <w:top w:val="single" w:sz="4" w:color="000000"/>
              <w:left w:val="single" w:sz="4" w:color="000000"/>
              <w:bottom w:val="single" w:sz="4" w:color="000000"/>
              <w:right w:val="single" w:sz="4" w:color="000000"/>
            </w:tcBorders>
          </w:tcPr>
          <w:p>
            <w:pPr>
              <w:jc w:val="center"/>
            </w:pPr>
            <w:r>
              <w:t>1.0000</w:t>
            </w:r>
          </w:p>
        </w:tc>
        <w:tc>
          <w:tcPr>
            <w:tcW w:type="dxa" w:w="2268"/>
            <w:tcBorders>
              <w:top w:val="single" w:sz="4" w:color="000000"/>
              <w:left w:val="single" w:sz="4" w:color="000000"/>
              <w:bottom w:val="single" w:sz="4" w:color="000000"/>
              <w:right w:val="single" w:sz="4" w:color="000000"/>
            </w:tcBorders>
          </w:tcPr>
          <w:p>
            <w:pPr>
              <w:jc w:val="center"/>
            </w:pPr>
            <w:r>
              <w:t>0.0000</w:t>
            </w:r>
          </w:p>
        </w:tc>
        <w:tc>
          <w:tcPr>
            <w:tcW w:type="dxa" w:w="2268"/>
            <w:tcBorders>
              <w:top w:val="single" w:sz="4" w:color="000000"/>
              <w:left w:val="single" w:sz="4" w:color="000000"/>
              <w:bottom w:val="single" w:sz="4" w:color="000000"/>
              <w:right w:val="single" w:sz="4" w:color="000000"/>
            </w:tcBorders>
          </w:tcPr>
          <w:p>
            <w:pPr>
              <w:jc w:val="center"/>
            </w:pPr>
            <w:r>
              <w:t>0.0000</w:t>
            </w:r>
          </w:p>
        </w:tc>
      </w:tr>
      <w:tr>
        <w:tc>
          <w:tcPr>
            <w:tcW w:type="dxa" w:w="2268"/>
            <w:tcBorders>
              <w:top w:val="single" w:sz="4" w:color="000000"/>
              <w:left w:val="single" w:sz="4" w:color="000000"/>
              <w:bottom w:val="single" w:sz="4" w:color="000000"/>
              <w:right w:val="single" w:sz="4" w:color="000000"/>
            </w:tcBorders>
          </w:tcPr>
          <w:p>
            <w:pPr>
              <w:jc w:val="center"/>
            </w:pPr>
            <w:r>
              <w:t>Water body</w:t>
            </w:r>
          </w:p>
        </w:tc>
        <w:tc>
          <w:tcPr>
            <w:tcW w:type="dxa" w:w="2268"/>
            <w:tcBorders>
              <w:top w:val="single" w:sz="4" w:color="000000"/>
              <w:left w:val="single" w:sz="4" w:color="000000"/>
              <w:bottom w:val="single" w:sz="4" w:color="000000"/>
              <w:right w:val="single" w:sz="4" w:color="000000"/>
            </w:tcBorders>
          </w:tcPr>
          <w:p>
            <w:pPr>
              <w:jc w:val="center"/>
            </w:pPr>
            <w:r>
              <w:t>0.0000</w:t>
            </w:r>
          </w:p>
        </w:tc>
        <w:tc>
          <w:tcPr>
            <w:tcW w:type="dxa" w:w="2268"/>
            <w:tcBorders>
              <w:top w:val="single" w:sz="4" w:color="000000"/>
              <w:left w:val="single" w:sz="4" w:color="000000"/>
              <w:bottom w:val="single" w:sz="4" w:color="000000"/>
              <w:right w:val="single" w:sz="4" w:color="000000"/>
            </w:tcBorders>
          </w:tcPr>
          <w:p>
            <w:pPr>
              <w:jc w:val="center"/>
            </w:pPr>
            <w:r>
              <w:t>1.0000</w:t>
            </w:r>
          </w:p>
        </w:tc>
        <w:tc>
          <w:tcPr>
            <w:tcW w:type="dxa" w:w="2268"/>
            <w:tcBorders>
              <w:top w:val="single" w:sz="4" w:color="000000"/>
              <w:left w:val="single" w:sz="4" w:color="000000"/>
              <w:bottom w:val="single" w:sz="4" w:color="000000"/>
              <w:right w:val="single" w:sz="4" w:color="000000"/>
            </w:tcBorders>
          </w:tcPr>
          <w:p>
            <w:pPr>
              <w:jc w:val="center"/>
            </w:pPr>
            <w:r>
              <w:t>0.0000</w:t>
            </w:r>
          </w:p>
        </w:tc>
      </w:tr>
      <w:tr>
        <w:tc>
          <w:tcPr>
            <w:tcW w:type="dxa" w:w="2268"/>
            <w:tcBorders>
              <w:top w:val="single" w:sz="4" w:color="000000"/>
              <w:left w:val="single" w:sz="4" w:color="000000"/>
              <w:bottom w:val="single" w:sz="4" w:color="000000"/>
              <w:right w:val="single" w:sz="4" w:color="000000"/>
            </w:tcBorders>
          </w:tcPr>
          <w:p>
            <w:pPr>
              <w:jc w:val="center"/>
            </w:pPr>
            <w:r>
              <w:t>Built up/Bareland</w:t>
            </w:r>
          </w:p>
        </w:tc>
        <w:tc>
          <w:tcPr>
            <w:tcW w:type="dxa" w:w="2268"/>
            <w:tcBorders>
              <w:top w:val="single" w:sz="4" w:color="000000"/>
              <w:left w:val="single" w:sz="4" w:color="000000"/>
              <w:bottom w:val="single" w:sz="4" w:color="000000"/>
              <w:right w:val="single" w:sz="4" w:color="000000"/>
            </w:tcBorders>
          </w:tcPr>
          <w:p>
            <w:pPr>
              <w:jc w:val="center"/>
            </w:pPr>
            <w:r>
              <w:t>0.0000</w:t>
            </w:r>
          </w:p>
        </w:tc>
        <w:tc>
          <w:tcPr>
            <w:tcW w:type="dxa" w:w="2268"/>
            <w:tcBorders>
              <w:top w:val="single" w:sz="4" w:color="000000"/>
              <w:left w:val="single" w:sz="4" w:color="000000"/>
              <w:bottom w:val="single" w:sz="4" w:color="000000"/>
              <w:right w:val="single" w:sz="4" w:color="000000"/>
            </w:tcBorders>
          </w:tcPr>
          <w:p>
            <w:pPr>
              <w:jc w:val="center"/>
            </w:pPr>
            <w:r>
              <w:t>0.0000</w:t>
            </w:r>
          </w:p>
        </w:tc>
        <w:tc>
          <w:tcPr>
            <w:tcW w:type="dxa" w:w="2268"/>
            <w:tcBorders>
              <w:top w:val="single" w:sz="4" w:color="000000"/>
              <w:left w:val="single" w:sz="4" w:color="000000"/>
              <w:bottom w:val="single" w:sz="4" w:color="000000"/>
              <w:right w:val="single" w:sz="4" w:color="000000"/>
            </w:tcBorders>
          </w:tcPr>
          <w:p>
            <w:pPr>
              <w:jc w:val="center"/>
            </w:pPr>
            <w:r>
              <w:t>1.0000</w:t>
            </w:r>
          </w:p>
        </w:tc>
      </w:tr>
    </w:tbl>
    <w:p/>
    <w:p>
      <w:r>
        <w:rPr>
          <w:i/>
          <w:sz w:val="18"/>
        </w:rPr>
        <w:t>Table 7: Transition probability matrix (2015→2025) — Keta Lagoon Complex.</w:t>
      </w:r>
    </w:p>
    <w:p/>
    <w:p>
      <w:pPr>
        <w:jc w:val="center"/>
      </w:pPr>
      <w:r>
        <w:drawing>
          <wp:inline xmlns:a="http://schemas.openxmlformats.org/drawingml/2006/main" xmlns:pic="http://schemas.openxmlformats.org/drawingml/2006/picture">
            <wp:extent cx="5400000" cy="2346359"/>
            <wp:docPr id="13" name="Picture 13"/>
            <wp:cNvGraphicFramePr>
              <a:graphicFrameLocks noChangeAspect="1"/>
            </wp:cNvGraphicFramePr>
            <a:graphic>
              <a:graphicData uri="http://schemas.openxmlformats.org/drawingml/2006/picture">
                <pic:pic>
                  <pic:nvPicPr>
                    <pic:cNvPr id="0" name="keta_2035_vs_2025.png"/>
                    <pic:cNvPicPr/>
                  </pic:nvPicPr>
                  <pic:blipFill>
                    <a:blip r:embed="rId21"/>
                    <a:stretch>
                      <a:fillRect/>
                    </a:stretch>
                  </pic:blipFill>
                  <pic:spPr>
                    <a:xfrm>
                      <a:off x="0" y="0"/>
                      <a:ext cx="5400000" cy="2346359"/>
                    </a:xfrm>
                    <a:prstGeom prst="rect"/>
                  </pic:spPr>
                </pic:pic>
              </a:graphicData>
            </a:graphic>
          </wp:inline>
        </w:drawing>
      </w:r>
    </w:p>
    <w:p>
      <w:pPr>
        <w:jc w:val="center"/>
      </w:pPr>
      <w:r>
        <w:rPr>
          <w:i/>
          <w:sz w:val="18"/>
        </w:rPr>
        <w:t>Figure: Keta Lagoon Complex — 2025 classified vs. 2035 CA-Markov predicted.</w:t>
      </w:r>
    </w:p>
    <w:p/>
    <w:p>
      <w:pPr>
        <w:pStyle w:val="Heading3"/>
      </w:pPr>
      <w:r>
        <w:t>2.3.2  Muni-Pomadze</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color="000000"/>
              <w:left w:val="single" w:sz="4" w:color="000000"/>
              <w:bottom w:val="single" w:sz="4" w:color="000000"/>
              <w:right w:val="single" w:sz="4" w:color="000000"/>
            </w:tcBorders>
          </w:tcPr>
          <w:p>
            <w:pPr>
              <w:jc w:val="center"/>
            </w:pPr>
            <w:r>
              <w:rPr>
                <w:b/>
              </w:rPr>
              <w:t>From \ To</w:t>
            </w:r>
          </w:p>
        </w:tc>
        <w:tc>
          <w:tcPr>
            <w:tcW w:type="dxa" w:w="2268"/>
            <w:tcBorders>
              <w:top w:val="single" w:sz="4" w:color="000000"/>
              <w:left w:val="single" w:sz="4" w:color="000000"/>
              <w:bottom w:val="single" w:sz="4" w:color="000000"/>
              <w:right w:val="single" w:sz="4" w:color="000000"/>
            </w:tcBorders>
          </w:tcPr>
          <w:p>
            <w:pPr>
              <w:jc w:val="center"/>
            </w:pPr>
            <w:r>
              <w:rPr>
                <w:b/>
              </w:rPr>
              <w:t>Vegetation</w:t>
            </w:r>
          </w:p>
        </w:tc>
        <w:tc>
          <w:tcPr>
            <w:tcW w:type="dxa" w:w="2268"/>
            <w:tcBorders>
              <w:top w:val="single" w:sz="4" w:color="000000"/>
              <w:left w:val="single" w:sz="4" w:color="000000"/>
              <w:bottom w:val="single" w:sz="4" w:color="000000"/>
              <w:right w:val="single" w:sz="4" w:color="000000"/>
            </w:tcBorders>
          </w:tcPr>
          <w:p>
            <w:pPr>
              <w:jc w:val="center"/>
            </w:pPr>
            <w:r>
              <w:rPr>
                <w:b/>
              </w:rPr>
              <w:t>Water body</w:t>
            </w:r>
          </w:p>
        </w:tc>
        <w:tc>
          <w:tcPr>
            <w:tcW w:type="dxa" w:w="2268"/>
            <w:tcBorders>
              <w:top w:val="single" w:sz="4" w:color="000000"/>
              <w:left w:val="single" w:sz="4" w:color="000000"/>
              <w:bottom w:val="single" w:sz="4" w:color="000000"/>
              <w:right w:val="single" w:sz="4" w:color="000000"/>
            </w:tcBorders>
          </w:tcPr>
          <w:p>
            <w:pPr>
              <w:jc w:val="center"/>
            </w:pPr>
            <w:r>
              <w:rPr>
                <w:b/>
              </w:rPr>
              <w:t>Built up/Bareland</w:t>
            </w:r>
          </w:p>
        </w:tc>
      </w:tr>
      <w:tr>
        <w:tc>
          <w:tcPr>
            <w:tcW w:type="dxa" w:w="2268"/>
            <w:tcBorders>
              <w:top w:val="single" w:sz="4" w:color="000000"/>
              <w:left w:val="single" w:sz="4" w:color="000000"/>
              <w:bottom w:val="single" w:sz="4" w:color="000000"/>
              <w:right w:val="single" w:sz="4" w:color="000000"/>
            </w:tcBorders>
          </w:tcPr>
          <w:p>
            <w:pPr>
              <w:jc w:val="center"/>
            </w:pPr>
            <w:r>
              <w:t>Vegetation</w:t>
            </w:r>
          </w:p>
        </w:tc>
        <w:tc>
          <w:tcPr>
            <w:tcW w:type="dxa" w:w="2268"/>
            <w:tcBorders>
              <w:top w:val="single" w:sz="4" w:color="000000"/>
              <w:left w:val="single" w:sz="4" w:color="000000"/>
              <w:bottom w:val="single" w:sz="4" w:color="000000"/>
              <w:right w:val="single" w:sz="4" w:color="000000"/>
            </w:tcBorders>
          </w:tcPr>
          <w:p>
            <w:pPr>
              <w:jc w:val="center"/>
            </w:pPr>
            <w:r>
              <w:t>0.9100</w:t>
            </w:r>
          </w:p>
        </w:tc>
        <w:tc>
          <w:tcPr>
            <w:tcW w:type="dxa" w:w="2268"/>
            <w:tcBorders>
              <w:top w:val="single" w:sz="4" w:color="000000"/>
              <w:left w:val="single" w:sz="4" w:color="000000"/>
              <w:bottom w:val="single" w:sz="4" w:color="000000"/>
              <w:right w:val="single" w:sz="4" w:color="000000"/>
            </w:tcBorders>
          </w:tcPr>
          <w:p>
            <w:pPr>
              <w:jc w:val="center"/>
            </w:pPr>
            <w:r>
              <w:t>0.0000</w:t>
            </w:r>
          </w:p>
        </w:tc>
        <w:tc>
          <w:tcPr>
            <w:tcW w:type="dxa" w:w="2268"/>
            <w:tcBorders>
              <w:top w:val="single" w:sz="4" w:color="000000"/>
              <w:left w:val="single" w:sz="4" w:color="000000"/>
              <w:bottom w:val="single" w:sz="4" w:color="000000"/>
              <w:right w:val="single" w:sz="4" w:color="000000"/>
            </w:tcBorders>
          </w:tcPr>
          <w:p>
            <w:pPr>
              <w:jc w:val="center"/>
            </w:pPr>
            <w:r>
              <w:t>0.0900</w:t>
            </w:r>
          </w:p>
        </w:tc>
      </w:tr>
      <w:tr>
        <w:tc>
          <w:tcPr>
            <w:tcW w:type="dxa" w:w="2268"/>
            <w:tcBorders>
              <w:top w:val="single" w:sz="4" w:color="000000"/>
              <w:left w:val="single" w:sz="4" w:color="000000"/>
              <w:bottom w:val="single" w:sz="4" w:color="000000"/>
              <w:right w:val="single" w:sz="4" w:color="000000"/>
            </w:tcBorders>
          </w:tcPr>
          <w:p>
            <w:pPr>
              <w:jc w:val="center"/>
            </w:pPr>
            <w:r>
              <w:t>Water body</w:t>
            </w:r>
          </w:p>
        </w:tc>
        <w:tc>
          <w:tcPr>
            <w:tcW w:type="dxa" w:w="2268"/>
            <w:tcBorders>
              <w:top w:val="single" w:sz="4" w:color="000000"/>
              <w:left w:val="single" w:sz="4" w:color="000000"/>
              <w:bottom w:val="single" w:sz="4" w:color="000000"/>
              <w:right w:val="single" w:sz="4" w:color="000000"/>
            </w:tcBorders>
          </w:tcPr>
          <w:p>
            <w:pPr>
              <w:jc w:val="center"/>
            </w:pPr>
            <w:r>
              <w:t>0.0487</w:t>
            </w:r>
          </w:p>
        </w:tc>
        <w:tc>
          <w:tcPr>
            <w:tcW w:type="dxa" w:w="2268"/>
            <w:tcBorders>
              <w:top w:val="single" w:sz="4" w:color="000000"/>
              <w:left w:val="single" w:sz="4" w:color="000000"/>
              <w:bottom w:val="single" w:sz="4" w:color="000000"/>
              <w:right w:val="single" w:sz="4" w:color="000000"/>
            </w:tcBorders>
          </w:tcPr>
          <w:p>
            <w:pPr>
              <w:jc w:val="center"/>
            </w:pPr>
            <w:r>
              <w:t>0.8202</w:t>
            </w:r>
          </w:p>
        </w:tc>
        <w:tc>
          <w:tcPr>
            <w:tcW w:type="dxa" w:w="2268"/>
            <w:tcBorders>
              <w:top w:val="single" w:sz="4" w:color="000000"/>
              <w:left w:val="single" w:sz="4" w:color="000000"/>
              <w:bottom w:val="single" w:sz="4" w:color="000000"/>
              <w:right w:val="single" w:sz="4" w:color="000000"/>
            </w:tcBorders>
          </w:tcPr>
          <w:p>
            <w:pPr>
              <w:jc w:val="center"/>
            </w:pPr>
            <w:r>
              <w:t>0.1311</w:t>
            </w:r>
          </w:p>
        </w:tc>
      </w:tr>
      <w:tr>
        <w:tc>
          <w:tcPr>
            <w:tcW w:type="dxa" w:w="2268"/>
            <w:tcBorders>
              <w:top w:val="single" w:sz="4" w:color="000000"/>
              <w:left w:val="single" w:sz="4" w:color="000000"/>
              <w:bottom w:val="single" w:sz="4" w:color="000000"/>
              <w:right w:val="single" w:sz="4" w:color="000000"/>
            </w:tcBorders>
          </w:tcPr>
          <w:p>
            <w:pPr>
              <w:jc w:val="center"/>
            </w:pPr>
            <w:r>
              <w:t>Built up/Bareland</w:t>
            </w:r>
          </w:p>
        </w:tc>
        <w:tc>
          <w:tcPr>
            <w:tcW w:type="dxa" w:w="2268"/>
            <w:tcBorders>
              <w:top w:val="single" w:sz="4" w:color="000000"/>
              <w:left w:val="single" w:sz="4" w:color="000000"/>
              <w:bottom w:val="single" w:sz="4" w:color="000000"/>
              <w:right w:val="single" w:sz="4" w:color="000000"/>
            </w:tcBorders>
          </w:tcPr>
          <w:p>
            <w:pPr>
              <w:jc w:val="center"/>
            </w:pPr>
            <w:r>
              <w:t>0.2242</w:t>
            </w:r>
          </w:p>
        </w:tc>
        <w:tc>
          <w:tcPr>
            <w:tcW w:type="dxa" w:w="2268"/>
            <w:tcBorders>
              <w:top w:val="single" w:sz="4" w:color="000000"/>
              <w:left w:val="single" w:sz="4" w:color="000000"/>
              <w:bottom w:val="single" w:sz="4" w:color="000000"/>
              <w:right w:val="single" w:sz="4" w:color="000000"/>
            </w:tcBorders>
          </w:tcPr>
          <w:p>
            <w:pPr>
              <w:jc w:val="center"/>
            </w:pPr>
            <w:r>
              <w:t>0.0021</w:t>
            </w:r>
          </w:p>
        </w:tc>
        <w:tc>
          <w:tcPr>
            <w:tcW w:type="dxa" w:w="2268"/>
            <w:tcBorders>
              <w:top w:val="single" w:sz="4" w:color="000000"/>
              <w:left w:val="single" w:sz="4" w:color="000000"/>
              <w:bottom w:val="single" w:sz="4" w:color="000000"/>
              <w:right w:val="single" w:sz="4" w:color="000000"/>
            </w:tcBorders>
          </w:tcPr>
          <w:p>
            <w:pPr>
              <w:jc w:val="center"/>
            </w:pPr>
            <w:r>
              <w:t>0.7737</w:t>
            </w:r>
          </w:p>
        </w:tc>
      </w:tr>
    </w:tbl>
    <w:p/>
    <w:p>
      <w:r>
        <w:rPr>
          <w:i/>
          <w:sz w:val="18"/>
        </w:rPr>
        <w:t>Table 8: Transition probability matrix (2015→2025) — Muni-Pomadze.</w:t>
      </w:r>
    </w:p>
    <w:p/>
    <w:p>
      <w:pPr>
        <w:jc w:val="center"/>
      </w:pPr>
      <w:r>
        <w:drawing>
          <wp:inline xmlns:a="http://schemas.openxmlformats.org/drawingml/2006/main" xmlns:pic="http://schemas.openxmlformats.org/drawingml/2006/picture">
            <wp:extent cx="5400000" cy="3125363"/>
            <wp:docPr id="14" name="Picture 14"/>
            <wp:cNvGraphicFramePr>
              <a:graphicFrameLocks noChangeAspect="1"/>
            </wp:cNvGraphicFramePr>
            <a:graphic>
              <a:graphicData uri="http://schemas.openxmlformats.org/drawingml/2006/picture">
                <pic:pic>
                  <pic:nvPicPr>
                    <pic:cNvPr id="0" name="muni_2035_vs_2025.png"/>
                    <pic:cNvPicPr/>
                  </pic:nvPicPr>
                  <pic:blipFill>
                    <a:blip r:embed="rId22"/>
                    <a:stretch>
                      <a:fillRect/>
                    </a:stretch>
                  </pic:blipFill>
                  <pic:spPr>
                    <a:xfrm>
                      <a:off x="0" y="0"/>
                      <a:ext cx="5400000" cy="3125363"/>
                    </a:xfrm>
                    <a:prstGeom prst="rect"/>
                  </pic:spPr>
                </pic:pic>
              </a:graphicData>
            </a:graphic>
          </wp:inline>
        </w:drawing>
      </w:r>
    </w:p>
    <w:p>
      <w:pPr>
        <w:jc w:val="center"/>
      </w:pPr>
      <w:r>
        <w:rPr>
          <w:i/>
          <w:sz w:val="18"/>
        </w:rPr>
        <w:t>Figure: Muni-Pomadze — 2025 classified vs. 2035 CA-Markov predicted.</w:t>
      </w:r>
    </w:p>
    <w:p/>
    <w:p>
      <w:pPr>
        <w:pStyle w:val="Heading2"/>
      </w:pPr>
      <w:r>
        <w:t>2.4 Multi-panel LULC Maps (1991–2035)</w:t>
      </w:r>
    </w:p>
    <w:p>
      <w:r>
        <w:t>Publication-quality five-panel maps for each site showing all classified and predicted time steps.</w:t>
      </w:r>
    </w:p>
    <w:p>
      <w:pPr>
        <w:jc w:val="center"/>
      </w:pPr>
      <w:r>
        <w:drawing>
          <wp:inline xmlns:a="http://schemas.openxmlformats.org/drawingml/2006/main" xmlns:pic="http://schemas.openxmlformats.org/drawingml/2006/picture">
            <wp:extent cx="5400000" cy="4890365"/>
            <wp:docPr id="19" name="Picture 19"/>
            <wp:cNvGraphicFramePr>
              <a:graphicFrameLocks noChangeAspect="1"/>
            </wp:cNvGraphicFramePr>
            <a:graphic>
              <a:graphicData uri="http://schemas.openxmlformats.org/drawingml/2006/picture">
                <pic:pic>
                  <pic:nvPicPr>
                    <pic:cNvPr id="0" name="keta_multipanel.png"/>
                    <pic:cNvPicPr/>
                  </pic:nvPicPr>
                  <pic:blipFill>
                    <a:blip r:embed="rId27"/>
                    <a:stretch>
                      <a:fillRect/>
                    </a:stretch>
                  </pic:blipFill>
                  <pic:spPr>
                    <a:xfrm>
                      <a:off x="0" y="0"/>
                      <a:ext cx="5400000" cy="4890365"/>
                    </a:xfrm>
                    <a:prstGeom prst="rect"/>
                  </pic:spPr>
                </pic:pic>
              </a:graphicData>
            </a:graphic>
          </wp:inline>
        </w:drawing>
      </w:r>
    </w:p>
    <w:p>
      <w:pPr>
        <w:jc w:val="center"/>
      </w:pPr>
      <w:r>
        <w:rPr>
          <w:i/>
          <w:sz w:val="18"/>
        </w:rPr>
        <w:t>Figure: Keta Lagoon Complex — Multi-temporal LULC maps 1991–2035 (1991–2025 SVM; 2035 CA-Markov).</w:t>
      </w:r>
    </w:p>
    <w:p/>
    <w:p>
      <w:pPr>
        <w:jc w:val="center"/>
      </w:pPr>
      <w:r>
        <w:drawing>
          <wp:inline xmlns:a="http://schemas.openxmlformats.org/drawingml/2006/main" xmlns:pic="http://schemas.openxmlformats.org/drawingml/2006/picture">
            <wp:extent cx="5400000" cy="5817479"/>
            <wp:docPr id="20" name="Picture 20"/>
            <wp:cNvGraphicFramePr>
              <a:graphicFrameLocks noChangeAspect="1"/>
            </wp:cNvGraphicFramePr>
            <a:graphic>
              <a:graphicData uri="http://schemas.openxmlformats.org/drawingml/2006/picture">
                <pic:pic>
                  <pic:nvPicPr>
                    <pic:cNvPr id="0" name="muni_multipanel.png"/>
                    <pic:cNvPicPr/>
                  </pic:nvPicPr>
                  <pic:blipFill>
                    <a:blip r:embed="rId28"/>
                    <a:stretch>
                      <a:fillRect/>
                    </a:stretch>
                  </pic:blipFill>
                  <pic:spPr>
                    <a:xfrm>
                      <a:off x="0" y="0"/>
                      <a:ext cx="5400000" cy="5817479"/>
                    </a:xfrm>
                    <a:prstGeom prst="rect"/>
                  </pic:spPr>
                </pic:pic>
              </a:graphicData>
            </a:graphic>
          </wp:inline>
        </w:drawing>
      </w:r>
    </w:p>
    <w:p>
      <w:pPr>
        <w:jc w:val="center"/>
      </w:pPr>
      <w:r>
        <w:rPr>
          <w:i/>
          <w:sz w:val="18"/>
        </w:rPr>
        <w:t>Figure: Muni-Pomadze — Multi-temporal LULC maps 1991–2035 (1991–2025 SVM; 2035 CA-Markov).</w:t>
      </w:r>
    </w:p>
    <w:p/>
    <w:p>
      <w:pPr>
        <w:pStyle w:val="Heading2"/>
      </w:pPr>
      <w:r>
        <w:t>2.5 Landscape Metrics</w:t>
      </w:r>
    </w:p>
    <w:p>
      <w:r>
        <w:t>Shannon Diversity Index, patch count, and Largest Patch Index for all time periods including the 2035 projection.</w:t>
      </w:r>
    </w:p>
    <w:p>
      <w:pPr>
        <w:pStyle w:val="Heading3"/>
      </w:pPr>
      <w:r>
        <w:t>2.5.1  Keta Lagoon Complex</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color="000000"/>
              <w:left w:val="single" w:sz="4" w:color="000000"/>
              <w:bottom w:val="single" w:sz="4" w:color="000000"/>
              <w:right w:val="single" w:sz="4" w:color="000000"/>
            </w:tcBorders>
          </w:tcPr>
          <w:p>
            <w:pPr>
              <w:jc w:val="center"/>
            </w:pPr>
            <w:r>
              <w:rPr>
                <w:b/>
              </w:rPr>
              <w:t>Year</w:t>
            </w:r>
          </w:p>
        </w:tc>
        <w:tc>
          <w:tcPr>
            <w:tcW w:type="dxa" w:w="1134"/>
            <w:tcBorders>
              <w:top w:val="single" w:sz="4" w:color="000000"/>
              <w:left w:val="single" w:sz="4" w:color="000000"/>
              <w:bottom w:val="single" w:sz="4" w:color="000000"/>
              <w:right w:val="single" w:sz="4" w:color="000000"/>
            </w:tcBorders>
          </w:tcPr>
          <w:p>
            <w:pPr>
              <w:jc w:val="center"/>
            </w:pPr>
            <w:r>
              <w:rPr>
                <w:b/>
              </w:rPr>
              <w:t>SDI</w:t>
            </w:r>
          </w:p>
        </w:tc>
        <w:tc>
          <w:tcPr>
            <w:tcW w:type="dxa" w:w="1134"/>
            <w:tcBorders>
              <w:top w:val="single" w:sz="4" w:color="000000"/>
              <w:left w:val="single" w:sz="4" w:color="000000"/>
              <w:bottom w:val="single" w:sz="4" w:color="000000"/>
              <w:right w:val="single" w:sz="4" w:color="000000"/>
            </w:tcBorders>
          </w:tcPr>
          <w:p>
            <w:pPr>
              <w:jc w:val="center"/>
            </w:pPr>
            <w:r>
              <w:rPr>
                <w:b/>
              </w:rPr>
              <w:t>Veg Patches</w:t>
            </w:r>
          </w:p>
        </w:tc>
        <w:tc>
          <w:tcPr>
            <w:tcW w:type="dxa" w:w="1134"/>
            <w:tcBorders>
              <w:top w:val="single" w:sz="4" w:color="000000"/>
              <w:left w:val="single" w:sz="4" w:color="000000"/>
              <w:bottom w:val="single" w:sz="4" w:color="000000"/>
              <w:right w:val="single" w:sz="4" w:color="000000"/>
            </w:tcBorders>
          </w:tcPr>
          <w:p>
            <w:pPr>
              <w:jc w:val="center"/>
            </w:pPr>
            <w:r>
              <w:rPr>
                <w:b/>
              </w:rPr>
              <w:t>Veg LPI (%)</w:t>
            </w:r>
          </w:p>
        </w:tc>
        <w:tc>
          <w:tcPr>
            <w:tcW w:type="dxa" w:w="1134"/>
            <w:tcBorders>
              <w:top w:val="single" w:sz="4" w:color="000000"/>
              <w:left w:val="single" w:sz="4" w:color="000000"/>
              <w:bottom w:val="single" w:sz="4" w:color="000000"/>
              <w:right w:val="single" w:sz="4" w:color="000000"/>
            </w:tcBorders>
          </w:tcPr>
          <w:p>
            <w:pPr>
              <w:jc w:val="center"/>
            </w:pPr>
            <w:r>
              <w:rPr>
                <w:b/>
              </w:rPr>
              <w:t>Wat Patches</w:t>
            </w:r>
          </w:p>
        </w:tc>
        <w:tc>
          <w:tcPr>
            <w:tcW w:type="dxa" w:w="1134"/>
            <w:tcBorders>
              <w:top w:val="single" w:sz="4" w:color="000000"/>
              <w:left w:val="single" w:sz="4" w:color="000000"/>
              <w:bottom w:val="single" w:sz="4" w:color="000000"/>
              <w:right w:val="single" w:sz="4" w:color="000000"/>
            </w:tcBorders>
          </w:tcPr>
          <w:p>
            <w:pPr>
              <w:jc w:val="center"/>
            </w:pPr>
            <w:r>
              <w:rPr>
                <w:b/>
              </w:rPr>
              <w:t>Wat LPI (%)</w:t>
            </w:r>
          </w:p>
        </w:tc>
        <w:tc>
          <w:tcPr>
            <w:tcW w:type="dxa" w:w="1134"/>
            <w:tcBorders>
              <w:top w:val="single" w:sz="4" w:color="000000"/>
              <w:left w:val="single" w:sz="4" w:color="000000"/>
              <w:bottom w:val="single" w:sz="4" w:color="000000"/>
              <w:right w:val="single" w:sz="4" w:color="000000"/>
            </w:tcBorders>
          </w:tcPr>
          <w:p>
            <w:pPr>
              <w:jc w:val="center"/>
            </w:pPr>
            <w:r>
              <w:rPr>
                <w:b/>
              </w:rPr>
              <w:t>Bui Patches</w:t>
            </w:r>
          </w:p>
        </w:tc>
        <w:tc>
          <w:tcPr>
            <w:tcW w:type="dxa" w:w="1134"/>
            <w:tcBorders>
              <w:top w:val="single" w:sz="4" w:color="000000"/>
              <w:left w:val="single" w:sz="4" w:color="000000"/>
              <w:bottom w:val="single" w:sz="4" w:color="000000"/>
              <w:right w:val="single" w:sz="4" w:color="000000"/>
            </w:tcBorders>
          </w:tcPr>
          <w:p>
            <w:pPr>
              <w:jc w:val="center"/>
            </w:pPr>
            <w:r>
              <w:rPr>
                <w:b/>
              </w:rPr>
              <w:t>Bui LPI (%)</w:t>
            </w:r>
          </w:p>
        </w:tc>
      </w:tr>
      <w:tr>
        <w:tc>
          <w:tcPr>
            <w:tcW w:type="dxa" w:w="1134"/>
            <w:tcBorders>
              <w:top w:val="single" w:sz="4" w:color="000000"/>
              <w:left w:val="single" w:sz="4" w:color="000000"/>
              <w:bottom w:val="single" w:sz="4" w:color="000000"/>
              <w:right w:val="single" w:sz="4" w:color="000000"/>
            </w:tcBorders>
          </w:tcPr>
          <w:p>
            <w:pPr>
              <w:jc w:val="center"/>
            </w:pPr>
            <w:r>
              <w:t>1991</w:t>
            </w:r>
          </w:p>
        </w:tc>
        <w:tc>
          <w:tcPr>
            <w:tcW w:type="dxa" w:w="1134"/>
            <w:tcBorders>
              <w:top w:val="single" w:sz="4" w:color="000000"/>
              <w:left w:val="single" w:sz="4" w:color="000000"/>
              <w:bottom w:val="single" w:sz="4" w:color="000000"/>
              <w:right w:val="single" w:sz="4" w:color="000000"/>
            </w:tcBorders>
          </w:tcPr>
          <w:p>
            <w:pPr>
              <w:jc w:val="center"/>
            </w:pPr>
            <w:r>
              <w:t>0.9301</w:t>
            </w:r>
          </w:p>
        </w:tc>
        <w:tc>
          <w:tcPr>
            <w:tcW w:type="dxa" w:w="1134"/>
            <w:tcBorders>
              <w:top w:val="single" w:sz="4" w:color="000000"/>
              <w:left w:val="single" w:sz="4" w:color="000000"/>
              <w:bottom w:val="single" w:sz="4" w:color="000000"/>
              <w:right w:val="single" w:sz="4" w:color="000000"/>
            </w:tcBorders>
          </w:tcPr>
          <w:p>
            <w:pPr>
              <w:jc w:val="center"/>
            </w:pPr>
            <w:r>
              <w:t>5189</w:t>
            </w:r>
          </w:p>
        </w:tc>
        <w:tc>
          <w:tcPr>
            <w:tcW w:type="dxa" w:w="1134"/>
            <w:tcBorders>
              <w:top w:val="single" w:sz="4" w:color="000000"/>
              <w:left w:val="single" w:sz="4" w:color="000000"/>
              <w:bottom w:val="single" w:sz="4" w:color="000000"/>
              <w:right w:val="single" w:sz="4" w:color="000000"/>
            </w:tcBorders>
          </w:tcPr>
          <w:p>
            <w:pPr>
              <w:jc w:val="center"/>
            </w:pPr>
            <w:r>
              <w:t>57.65</w:t>
            </w:r>
          </w:p>
        </w:tc>
        <w:tc>
          <w:tcPr>
            <w:tcW w:type="dxa" w:w="1134"/>
            <w:tcBorders>
              <w:top w:val="single" w:sz="4" w:color="000000"/>
              <w:left w:val="single" w:sz="4" w:color="000000"/>
              <w:bottom w:val="single" w:sz="4" w:color="000000"/>
              <w:right w:val="single" w:sz="4" w:color="000000"/>
            </w:tcBorders>
          </w:tcPr>
          <w:p>
            <w:pPr>
              <w:jc w:val="center"/>
            </w:pPr>
            <w:r>
              <w:t>1693</w:t>
            </w:r>
          </w:p>
        </w:tc>
        <w:tc>
          <w:tcPr>
            <w:tcW w:type="dxa" w:w="1134"/>
            <w:tcBorders>
              <w:top w:val="single" w:sz="4" w:color="000000"/>
              <w:left w:val="single" w:sz="4" w:color="000000"/>
              <w:bottom w:val="single" w:sz="4" w:color="000000"/>
              <w:right w:val="single" w:sz="4" w:color="000000"/>
            </w:tcBorders>
          </w:tcPr>
          <w:p>
            <w:pPr>
              <w:jc w:val="center"/>
            </w:pPr>
            <w:r>
              <w:t>22.47</w:t>
            </w:r>
          </w:p>
        </w:tc>
        <w:tc>
          <w:tcPr>
            <w:tcW w:type="dxa" w:w="1134"/>
            <w:tcBorders>
              <w:top w:val="single" w:sz="4" w:color="000000"/>
              <w:left w:val="single" w:sz="4" w:color="000000"/>
              <w:bottom w:val="single" w:sz="4" w:color="000000"/>
              <w:right w:val="single" w:sz="4" w:color="000000"/>
            </w:tcBorders>
          </w:tcPr>
          <w:p>
            <w:pPr>
              <w:jc w:val="center"/>
            </w:pPr>
            <w:r>
              <w:t>13954</w:t>
            </w:r>
          </w:p>
        </w:tc>
        <w:tc>
          <w:tcPr>
            <w:tcW w:type="dxa" w:w="1134"/>
            <w:tcBorders>
              <w:top w:val="single" w:sz="4" w:color="000000"/>
              <w:left w:val="single" w:sz="4" w:color="000000"/>
              <w:bottom w:val="single" w:sz="4" w:color="000000"/>
              <w:right w:val="single" w:sz="4" w:color="000000"/>
            </w:tcBorders>
          </w:tcPr>
          <w:p>
            <w:pPr>
              <w:jc w:val="center"/>
            </w:pPr>
            <w:r>
              <w:t>2.97</w:t>
            </w:r>
          </w:p>
        </w:tc>
      </w:tr>
      <w:tr>
        <w:tc>
          <w:tcPr>
            <w:tcW w:type="dxa" w:w="1134"/>
            <w:tcBorders>
              <w:top w:val="single" w:sz="4" w:color="000000"/>
              <w:left w:val="single" w:sz="4" w:color="000000"/>
              <w:bottom w:val="single" w:sz="4" w:color="000000"/>
              <w:right w:val="single" w:sz="4" w:color="000000"/>
            </w:tcBorders>
          </w:tcPr>
          <w:p>
            <w:pPr>
              <w:jc w:val="center"/>
            </w:pPr>
            <w:r>
              <w:t>2001</w:t>
            </w:r>
          </w:p>
        </w:tc>
        <w:tc>
          <w:tcPr>
            <w:tcW w:type="dxa" w:w="1134"/>
            <w:tcBorders>
              <w:top w:val="single" w:sz="4" w:color="000000"/>
              <w:left w:val="single" w:sz="4" w:color="000000"/>
              <w:bottom w:val="single" w:sz="4" w:color="000000"/>
              <w:right w:val="single" w:sz="4" w:color="000000"/>
            </w:tcBorders>
          </w:tcPr>
          <w:p>
            <w:pPr>
              <w:jc w:val="center"/>
            </w:pPr>
            <w:r>
              <w:t>1.0183</w:t>
            </w:r>
          </w:p>
        </w:tc>
        <w:tc>
          <w:tcPr>
            <w:tcW w:type="dxa" w:w="1134"/>
            <w:tcBorders>
              <w:top w:val="single" w:sz="4" w:color="000000"/>
              <w:left w:val="single" w:sz="4" w:color="000000"/>
              <w:bottom w:val="single" w:sz="4" w:color="000000"/>
              <w:right w:val="single" w:sz="4" w:color="000000"/>
            </w:tcBorders>
          </w:tcPr>
          <w:p>
            <w:pPr>
              <w:jc w:val="center"/>
            </w:pPr>
            <w:r>
              <w:t>11221</w:t>
            </w:r>
          </w:p>
        </w:tc>
        <w:tc>
          <w:tcPr>
            <w:tcW w:type="dxa" w:w="1134"/>
            <w:tcBorders>
              <w:top w:val="single" w:sz="4" w:color="000000"/>
              <w:left w:val="single" w:sz="4" w:color="000000"/>
              <w:bottom w:val="single" w:sz="4" w:color="000000"/>
              <w:right w:val="single" w:sz="4" w:color="000000"/>
            </w:tcBorders>
          </w:tcPr>
          <w:p>
            <w:pPr>
              <w:jc w:val="center"/>
            </w:pPr>
            <w:r>
              <w:t>43.30</w:t>
            </w:r>
          </w:p>
        </w:tc>
        <w:tc>
          <w:tcPr>
            <w:tcW w:type="dxa" w:w="1134"/>
            <w:tcBorders>
              <w:top w:val="single" w:sz="4" w:color="000000"/>
              <w:left w:val="single" w:sz="4" w:color="000000"/>
              <w:bottom w:val="single" w:sz="4" w:color="000000"/>
              <w:right w:val="single" w:sz="4" w:color="000000"/>
            </w:tcBorders>
          </w:tcPr>
          <w:p>
            <w:pPr>
              <w:jc w:val="center"/>
            </w:pPr>
            <w:r>
              <w:t>3695</w:t>
            </w:r>
          </w:p>
        </w:tc>
        <w:tc>
          <w:tcPr>
            <w:tcW w:type="dxa" w:w="1134"/>
            <w:tcBorders>
              <w:top w:val="single" w:sz="4" w:color="000000"/>
              <w:left w:val="single" w:sz="4" w:color="000000"/>
              <w:bottom w:val="single" w:sz="4" w:color="000000"/>
              <w:right w:val="single" w:sz="4" w:color="000000"/>
            </w:tcBorders>
          </w:tcPr>
          <w:p>
            <w:pPr>
              <w:jc w:val="center"/>
            </w:pPr>
            <w:r>
              <w:t>16.26</w:t>
            </w:r>
          </w:p>
        </w:tc>
        <w:tc>
          <w:tcPr>
            <w:tcW w:type="dxa" w:w="1134"/>
            <w:tcBorders>
              <w:top w:val="single" w:sz="4" w:color="000000"/>
              <w:left w:val="single" w:sz="4" w:color="000000"/>
              <w:bottom w:val="single" w:sz="4" w:color="000000"/>
              <w:right w:val="single" w:sz="4" w:color="000000"/>
            </w:tcBorders>
          </w:tcPr>
          <w:p>
            <w:pPr>
              <w:jc w:val="center"/>
            </w:pPr>
            <w:r>
              <w:t>13037</w:t>
            </w:r>
          </w:p>
        </w:tc>
        <w:tc>
          <w:tcPr>
            <w:tcW w:type="dxa" w:w="1134"/>
            <w:tcBorders>
              <w:top w:val="single" w:sz="4" w:color="000000"/>
              <w:left w:val="single" w:sz="4" w:color="000000"/>
              <w:bottom w:val="single" w:sz="4" w:color="000000"/>
              <w:right w:val="single" w:sz="4" w:color="000000"/>
            </w:tcBorders>
          </w:tcPr>
          <w:p>
            <w:pPr>
              <w:jc w:val="center"/>
            </w:pPr>
            <w:r>
              <w:t>4.73</w:t>
            </w:r>
          </w:p>
        </w:tc>
      </w:tr>
      <w:tr>
        <w:tc>
          <w:tcPr>
            <w:tcW w:type="dxa" w:w="1134"/>
            <w:tcBorders>
              <w:top w:val="single" w:sz="4" w:color="000000"/>
              <w:left w:val="single" w:sz="4" w:color="000000"/>
              <w:bottom w:val="single" w:sz="4" w:color="000000"/>
              <w:right w:val="single" w:sz="4" w:color="000000"/>
            </w:tcBorders>
          </w:tcPr>
          <w:p>
            <w:pPr>
              <w:jc w:val="center"/>
            </w:pPr>
            <w:r>
              <w:t>2015</w:t>
            </w:r>
          </w:p>
        </w:tc>
        <w:tc>
          <w:tcPr>
            <w:tcW w:type="dxa" w:w="1134"/>
            <w:tcBorders>
              <w:top w:val="single" w:sz="4" w:color="000000"/>
              <w:left w:val="single" w:sz="4" w:color="000000"/>
              <w:bottom w:val="single" w:sz="4" w:color="000000"/>
              <w:right w:val="single" w:sz="4" w:color="000000"/>
            </w:tcBorders>
          </w:tcPr>
          <w:p>
            <w:pPr>
              <w:jc w:val="center"/>
            </w:pPr>
            <w:r>
              <w:t>0.9809</w:t>
            </w:r>
          </w:p>
        </w:tc>
        <w:tc>
          <w:tcPr>
            <w:tcW w:type="dxa" w:w="1134"/>
            <w:tcBorders>
              <w:top w:val="single" w:sz="4" w:color="000000"/>
              <w:left w:val="single" w:sz="4" w:color="000000"/>
              <w:bottom w:val="single" w:sz="4" w:color="000000"/>
              <w:right w:val="single" w:sz="4" w:color="000000"/>
            </w:tcBorders>
          </w:tcPr>
          <w:p>
            <w:pPr>
              <w:jc w:val="center"/>
            </w:pPr>
            <w:r>
              <w:t>7420</w:t>
            </w:r>
          </w:p>
        </w:tc>
        <w:tc>
          <w:tcPr>
            <w:tcW w:type="dxa" w:w="1134"/>
            <w:tcBorders>
              <w:top w:val="single" w:sz="4" w:color="000000"/>
              <w:left w:val="single" w:sz="4" w:color="000000"/>
              <w:bottom w:val="single" w:sz="4" w:color="000000"/>
              <w:right w:val="single" w:sz="4" w:color="000000"/>
            </w:tcBorders>
          </w:tcPr>
          <w:p>
            <w:pPr>
              <w:jc w:val="center"/>
            </w:pPr>
            <w:r>
              <w:t>48.30</w:t>
            </w:r>
          </w:p>
        </w:tc>
        <w:tc>
          <w:tcPr>
            <w:tcW w:type="dxa" w:w="1134"/>
            <w:tcBorders>
              <w:top w:val="single" w:sz="4" w:color="000000"/>
              <w:left w:val="single" w:sz="4" w:color="000000"/>
              <w:bottom w:val="single" w:sz="4" w:color="000000"/>
              <w:right w:val="single" w:sz="4" w:color="000000"/>
            </w:tcBorders>
          </w:tcPr>
          <w:p>
            <w:pPr>
              <w:jc w:val="center"/>
            </w:pPr>
            <w:r>
              <w:t>936</w:t>
            </w:r>
          </w:p>
        </w:tc>
        <w:tc>
          <w:tcPr>
            <w:tcW w:type="dxa" w:w="1134"/>
            <w:tcBorders>
              <w:top w:val="single" w:sz="4" w:color="000000"/>
              <w:left w:val="single" w:sz="4" w:color="000000"/>
              <w:bottom w:val="single" w:sz="4" w:color="000000"/>
              <w:right w:val="single" w:sz="4" w:color="000000"/>
            </w:tcBorders>
          </w:tcPr>
          <w:p>
            <w:pPr>
              <w:jc w:val="center"/>
            </w:pPr>
            <w:r>
              <w:t>19.70</w:t>
            </w:r>
          </w:p>
        </w:tc>
        <w:tc>
          <w:tcPr>
            <w:tcW w:type="dxa" w:w="1134"/>
            <w:tcBorders>
              <w:top w:val="single" w:sz="4" w:color="000000"/>
              <w:left w:val="single" w:sz="4" w:color="000000"/>
              <w:bottom w:val="single" w:sz="4" w:color="000000"/>
              <w:right w:val="single" w:sz="4" w:color="000000"/>
            </w:tcBorders>
          </w:tcPr>
          <w:p>
            <w:pPr>
              <w:jc w:val="center"/>
            </w:pPr>
            <w:r>
              <w:t>11757</w:t>
            </w:r>
          </w:p>
        </w:tc>
        <w:tc>
          <w:tcPr>
            <w:tcW w:type="dxa" w:w="1134"/>
            <w:tcBorders>
              <w:top w:val="single" w:sz="4" w:color="000000"/>
              <w:left w:val="single" w:sz="4" w:color="000000"/>
              <w:bottom w:val="single" w:sz="4" w:color="000000"/>
              <w:right w:val="single" w:sz="4" w:color="000000"/>
            </w:tcBorders>
          </w:tcPr>
          <w:p>
            <w:pPr>
              <w:jc w:val="center"/>
            </w:pPr>
            <w:r>
              <w:t>2.58</w:t>
            </w:r>
          </w:p>
        </w:tc>
      </w:tr>
      <w:tr>
        <w:tc>
          <w:tcPr>
            <w:tcW w:type="dxa" w:w="1134"/>
            <w:tcBorders>
              <w:top w:val="single" w:sz="4" w:color="000000"/>
              <w:left w:val="single" w:sz="4" w:color="000000"/>
              <w:bottom w:val="single" w:sz="4" w:color="000000"/>
              <w:right w:val="single" w:sz="4" w:color="000000"/>
            </w:tcBorders>
          </w:tcPr>
          <w:p>
            <w:pPr>
              <w:jc w:val="center"/>
            </w:pPr>
            <w:r>
              <w:t>2025</w:t>
            </w:r>
          </w:p>
        </w:tc>
        <w:tc>
          <w:tcPr>
            <w:tcW w:type="dxa" w:w="1134"/>
            <w:tcBorders>
              <w:top w:val="single" w:sz="4" w:color="000000"/>
              <w:left w:val="single" w:sz="4" w:color="000000"/>
              <w:bottom w:val="single" w:sz="4" w:color="000000"/>
              <w:right w:val="single" w:sz="4" w:color="000000"/>
            </w:tcBorders>
          </w:tcPr>
          <w:p>
            <w:pPr>
              <w:jc w:val="center"/>
            </w:pPr>
            <w:r>
              <w:t>0.9809</w:t>
            </w:r>
          </w:p>
        </w:tc>
        <w:tc>
          <w:tcPr>
            <w:tcW w:type="dxa" w:w="1134"/>
            <w:tcBorders>
              <w:top w:val="single" w:sz="4" w:color="000000"/>
              <w:left w:val="single" w:sz="4" w:color="000000"/>
              <w:bottom w:val="single" w:sz="4" w:color="000000"/>
              <w:right w:val="single" w:sz="4" w:color="000000"/>
            </w:tcBorders>
          </w:tcPr>
          <w:p>
            <w:pPr>
              <w:jc w:val="center"/>
            </w:pPr>
            <w:r>
              <w:t>7420</w:t>
            </w:r>
          </w:p>
        </w:tc>
        <w:tc>
          <w:tcPr>
            <w:tcW w:type="dxa" w:w="1134"/>
            <w:tcBorders>
              <w:top w:val="single" w:sz="4" w:color="000000"/>
              <w:left w:val="single" w:sz="4" w:color="000000"/>
              <w:bottom w:val="single" w:sz="4" w:color="000000"/>
              <w:right w:val="single" w:sz="4" w:color="000000"/>
            </w:tcBorders>
          </w:tcPr>
          <w:p>
            <w:pPr>
              <w:jc w:val="center"/>
            </w:pPr>
            <w:r>
              <w:t>48.30</w:t>
            </w:r>
          </w:p>
        </w:tc>
        <w:tc>
          <w:tcPr>
            <w:tcW w:type="dxa" w:w="1134"/>
            <w:tcBorders>
              <w:top w:val="single" w:sz="4" w:color="000000"/>
              <w:left w:val="single" w:sz="4" w:color="000000"/>
              <w:bottom w:val="single" w:sz="4" w:color="000000"/>
              <w:right w:val="single" w:sz="4" w:color="000000"/>
            </w:tcBorders>
          </w:tcPr>
          <w:p>
            <w:pPr>
              <w:jc w:val="center"/>
            </w:pPr>
            <w:r>
              <w:t>936</w:t>
            </w:r>
          </w:p>
        </w:tc>
        <w:tc>
          <w:tcPr>
            <w:tcW w:type="dxa" w:w="1134"/>
            <w:tcBorders>
              <w:top w:val="single" w:sz="4" w:color="000000"/>
              <w:left w:val="single" w:sz="4" w:color="000000"/>
              <w:bottom w:val="single" w:sz="4" w:color="000000"/>
              <w:right w:val="single" w:sz="4" w:color="000000"/>
            </w:tcBorders>
          </w:tcPr>
          <w:p>
            <w:pPr>
              <w:jc w:val="center"/>
            </w:pPr>
            <w:r>
              <w:t>19.70</w:t>
            </w:r>
          </w:p>
        </w:tc>
        <w:tc>
          <w:tcPr>
            <w:tcW w:type="dxa" w:w="1134"/>
            <w:tcBorders>
              <w:top w:val="single" w:sz="4" w:color="000000"/>
              <w:left w:val="single" w:sz="4" w:color="000000"/>
              <w:bottom w:val="single" w:sz="4" w:color="000000"/>
              <w:right w:val="single" w:sz="4" w:color="000000"/>
            </w:tcBorders>
          </w:tcPr>
          <w:p>
            <w:pPr>
              <w:jc w:val="center"/>
            </w:pPr>
            <w:r>
              <w:t>11757</w:t>
            </w:r>
          </w:p>
        </w:tc>
        <w:tc>
          <w:tcPr>
            <w:tcW w:type="dxa" w:w="1134"/>
            <w:tcBorders>
              <w:top w:val="single" w:sz="4" w:color="000000"/>
              <w:left w:val="single" w:sz="4" w:color="000000"/>
              <w:bottom w:val="single" w:sz="4" w:color="000000"/>
              <w:right w:val="single" w:sz="4" w:color="000000"/>
            </w:tcBorders>
          </w:tcPr>
          <w:p>
            <w:pPr>
              <w:jc w:val="center"/>
            </w:pPr>
            <w:r>
              <w:t>2.58</w:t>
            </w:r>
          </w:p>
        </w:tc>
      </w:tr>
      <w:tr>
        <w:tc>
          <w:tcPr>
            <w:tcW w:type="dxa" w:w="1134"/>
            <w:tcBorders>
              <w:top w:val="single" w:sz="4" w:color="000000"/>
              <w:left w:val="single" w:sz="4" w:color="000000"/>
              <w:bottom w:val="single" w:sz="4" w:color="000000"/>
              <w:right w:val="single" w:sz="4" w:color="000000"/>
            </w:tcBorders>
          </w:tcPr>
          <w:p>
            <w:pPr>
              <w:jc w:val="center"/>
            </w:pPr>
            <w:r>
              <w:t>2035 (P)</w:t>
            </w:r>
          </w:p>
        </w:tc>
        <w:tc>
          <w:tcPr>
            <w:tcW w:type="dxa" w:w="1134"/>
            <w:tcBorders>
              <w:top w:val="single" w:sz="4" w:color="000000"/>
              <w:left w:val="single" w:sz="4" w:color="000000"/>
              <w:bottom w:val="single" w:sz="4" w:color="000000"/>
              <w:right w:val="single" w:sz="4" w:color="000000"/>
            </w:tcBorders>
          </w:tcPr>
          <w:p>
            <w:pPr>
              <w:jc w:val="center"/>
            </w:pPr>
            <w:r>
              <w:t>0.9629</w:t>
            </w:r>
          </w:p>
        </w:tc>
        <w:tc>
          <w:tcPr>
            <w:tcW w:type="dxa" w:w="1134"/>
            <w:tcBorders>
              <w:top w:val="single" w:sz="4" w:color="000000"/>
              <w:left w:val="single" w:sz="4" w:color="000000"/>
              <w:bottom w:val="single" w:sz="4" w:color="000000"/>
              <w:right w:val="single" w:sz="4" w:color="000000"/>
            </w:tcBorders>
          </w:tcPr>
          <w:p>
            <w:pPr>
              <w:jc w:val="center"/>
            </w:pPr>
            <w:r>
              <w:t>29090</w:t>
            </w:r>
          </w:p>
        </w:tc>
        <w:tc>
          <w:tcPr>
            <w:tcW w:type="dxa" w:w="1134"/>
            <w:tcBorders>
              <w:top w:val="single" w:sz="4" w:color="000000"/>
              <w:left w:val="single" w:sz="4" w:color="000000"/>
              <w:bottom w:val="single" w:sz="4" w:color="000000"/>
              <w:right w:val="single" w:sz="4" w:color="000000"/>
            </w:tcBorders>
          </w:tcPr>
          <w:p>
            <w:pPr>
              <w:jc w:val="center"/>
            </w:pPr>
            <w:r>
              <w:t>44.93</w:t>
            </w:r>
          </w:p>
        </w:tc>
        <w:tc>
          <w:tcPr>
            <w:tcW w:type="dxa" w:w="1134"/>
            <w:tcBorders>
              <w:top w:val="single" w:sz="4" w:color="000000"/>
              <w:left w:val="single" w:sz="4" w:color="000000"/>
              <w:bottom w:val="single" w:sz="4" w:color="000000"/>
              <w:right w:val="single" w:sz="4" w:color="000000"/>
            </w:tcBorders>
          </w:tcPr>
          <w:p>
            <w:pPr>
              <w:jc w:val="center"/>
            </w:pPr>
            <w:r>
              <w:t>51507</w:t>
            </w:r>
          </w:p>
        </w:tc>
        <w:tc>
          <w:tcPr>
            <w:tcW w:type="dxa" w:w="1134"/>
            <w:tcBorders>
              <w:top w:val="single" w:sz="4" w:color="000000"/>
              <w:left w:val="single" w:sz="4" w:color="000000"/>
              <w:bottom w:val="single" w:sz="4" w:color="000000"/>
              <w:right w:val="single" w:sz="4" w:color="000000"/>
            </w:tcBorders>
          </w:tcPr>
          <w:p>
            <w:pPr>
              <w:jc w:val="center"/>
            </w:pPr>
            <w:r>
              <w:t>17.98</w:t>
            </w:r>
          </w:p>
        </w:tc>
        <w:tc>
          <w:tcPr>
            <w:tcW w:type="dxa" w:w="1134"/>
            <w:tcBorders>
              <w:top w:val="single" w:sz="4" w:color="000000"/>
              <w:left w:val="single" w:sz="4" w:color="000000"/>
              <w:bottom w:val="single" w:sz="4" w:color="000000"/>
              <w:right w:val="single" w:sz="4" w:color="000000"/>
            </w:tcBorders>
          </w:tcPr>
          <w:p>
            <w:pPr>
              <w:jc w:val="center"/>
            </w:pPr>
            <w:r>
              <w:t>108177</w:t>
            </w:r>
          </w:p>
        </w:tc>
        <w:tc>
          <w:tcPr>
            <w:tcW w:type="dxa" w:w="1134"/>
            <w:tcBorders>
              <w:top w:val="single" w:sz="4" w:color="000000"/>
              <w:left w:val="single" w:sz="4" w:color="000000"/>
              <w:bottom w:val="single" w:sz="4" w:color="000000"/>
              <w:right w:val="single" w:sz="4" w:color="000000"/>
            </w:tcBorders>
          </w:tcPr>
          <w:p>
            <w:pPr>
              <w:jc w:val="center"/>
            </w:pPr>
            <w:r>
              <w:t>0.02</w:t>
            </w:r>
          </w:p>
        </w:tc>
      </w:tr>
    </w:tbl>
    <w:p/>
    <w:p>
      <w:r>
        <w:rPr>
          <w:i/>
          <w:sz w:val="18"/>
        </w:rPr>
        <w:t>Table 9: Landscape metrics — Keta Lagoon Complex. (P) = Predicted.</w:t>
      </w:r>
    </w:p>
    <w:p/>
    <w:p>
      <w:pPr>
        <w:jc w:val="center"/>
      </w:pPr>
      <w:r>
        <w:drawing>
          <wp:inline xmlns:a="http://schemas.openxmlformats.org/drawingml/2006/main" xmlns:pic="http://schemas.openxmlformats.org/drawingml/2006/picture">
            <wp:extent cx="5760000" cy="1792644"/>
            <wp:docPr id="17" name="Picture 17"/>
            <wp:cNvGraphicFramePr>
              <a:graphicFrameLocks noChangeAspect="1"/>
            </wp:cNvGraphicFramePr>
            <a:graphic>
              <a:graphicData uri="http://schemas.openxmlformats.org/drawingml/2006/picture">
                <pic:pic>
                  <pic:nvPicPr>
                    <pic:cNvPr id="0" name="keta_landscape_metrics.png"/>
                    <pic:cNvPicPr/>
                  </pic:nvPicPr>
                  <pic:blipFill>
                    <a:blip r:embed="rId25"/>
                    <a:stretch>
                      <a:fillRect/>
                    </a:stretch>
                  </pic:blipFill>
                  <pic:spPr>
                    <a:xfrm>
                      <a:off x="0" y="0"/>
                      <a:ext cx="5760000" cy="1792644"/>
                    </a:xfrm>
                    <a:prstGeom prst="rect"/>
                  </pic:spPr>
                </pic:pic>
              </a:graphicData>
            </a:graphic>
          </wp:inline>
        </w:drawing>
      </w:r>
    </w:p>
    <w:p>
      <w:pPr>
        <w:jc w:val="center"/>
      </w:pPr>
      <w:r>
        <w:rPr>
          <w:i/>
          <w:sz w:val="18"/>
        </w:rPr>
        <w:t>Figure: Keta Lagoon Complex — Landscape metrics 1991–2035.</w:t>
      </w:r>
    </w:p>
    <w:p/>
    <w:p>
      <w:pPr>
        <w:pStyle w:val="Heading3"/>
      </w:pPr>
      <w:r>
        <w:t>2.5.2  Muni-Pomadze</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color="000000"/>
              <w:left w:val="single" w:sz="4" w:color="000000"/>
              <w:bottom w:val="single" w:sz="4" w:color="000000"/>
              <w:right w:val="single" w:sz="4" w:color="000000"/>
            </w:tcBorders>
          </w:tcPr>
          <w:p>
            <w:pPr>
              <w:jc w:val="center"/>
            </w:pPr>
            <w:r>
              <w:rPr>
                <w:b/>
              </w:rPr>
              <w:t>Year</w:t>
            </w:r>
          </w:p>
        </w:tc>
        <w:tc>
          <w:tcPr>
            <w:tcW w:type="dxa" w:w="1134"/>
            <w:tcBorders>
              <w:top w:val="single" w:sz="4" w:color="000000"/>
              <w:left w:val="single" w:sz="4" w:color="000000"/>
              <w:bottom w:val="single" w:sz="4" w:color="000000"/>
              <w:right w:val="single" w:sz="4" w:color="000000"/>
            </w:tcBorders>
          </w:tcPr>
          <w:p>
            <w:pPr>
              <w:jc w:val="center"/>
            </w:pPr>
            <w:r>
              <w:rPr>
                <w:b/>
              </w:rPr>
              <w:t>SDI</w:t>
            </w:r>
          </w:p>
        </w:tc>
        <w:tc>
          <w:tcPr>
            <w:tcW w:type="dxa" w:w="1134"/>
            <w:tcBorders>
              <w:top w:val="single" w:sz="4" w:color="000000"/>
              <w:left w:val="single" w:sz="4" w:color="000000"/>
              <w:bottom w:val="single" w:sz="4" w:color="000000"/>
              <w:right w:val="single" w:sz="4" w:color="000000"/>
            </w:tcBorders>
          </w:tcPr>
          <w:p>
            <w:pPr>
              <w:jc w:val="center"/>
            </w:pPr>
            <w:r>
              <w:rPr>
                <w:b/>
              </w:rPr>
              <w:t>Veg Patches</w:t>
            </w:r>
          </w:p>
        </w:tc>
        <w:tc>
          <w:tcPr>
            <w:tcW w:type="dxa" w:w="1134"/>
            <w:tcBorders>
              <w:top w:val="single" w:sz="4" w:color="000000"/>
              <w:left w:val="single" w:sz="4" w:color="000000"/>
              <w:bottom w:val="single" w:sz="4" w:color="000000"/>
              <w:right w:val="single" w:sz="4" w:color="000000"/>
            </w:tcBorders>
          </w:tcPr>
          <w:p>
            <w:pPr>
              <w:jc w:val="center"/>
            </w:pPr>
            <w:r>
              <w:rPr>
                <w:b/>
              </w:rPr>
              <w:t>Veg LPI (%)</w:t>
            </w:r>
          </w:p>
        </w:tc>
        <w:tc>
          <w:tcPr>
            <w:tcW w:type="dxa" w:w="1134"/>
            <w:tcBorders>
              <w:top w:val="single" w:sz="4" w:color="000000"/>
              <w:left w:val="single" w:sz="4" w:color="000000"/>
              <w:bottom w:val="single" w:sz="4" w:color="000000"/>
              <w:right w:val="single" w:sz="4" w:color="000000"/>
            </w:tcBorders>
          </w:tcPr>
          <w:p>
            <w:pPr>
              <w:jc w:val="center"/>
            </w:pPr>
            <w:r>
              <w:rPr>
                <w:b/>
              </w:rPr>
              <w:t>Wat Patches</w:t>
            </w:r>
          </w:p>
        </w:tc>
        <w:tc>
          <w:tcPr>
            <w:tcW w:type="dxa" w:w="1134"/>
            <w:tcBorders>
              <w:top w:val="single" w:sz="4" w:color="000000"/>
              <w:left w:val="single" w:sz="4" w:color="000000"/>
              <w:bottom w:val="single" w:sz="4" w:color="000000"/>
              <w:right w:val="single" w:sz="4" w:color="000000"/>
            </w:tcBorders>
          </w:tcPr>
          <w:p>
            <w:pPr>
              <w:jc w:val="center"/>
            </w:pPr>
            <w:r>
              <w:rPr>
                <w:b/>
              </w:rPr>
              <w:t>Wat LPI (%)</w:t>
            </w:r>
          </w:p>
        </w:tc>
        <w:tc>
          <w:tcPr>
            <w:tcW w:type="dxa" w:w="1134"/>
            <w:tcBorders>
              <w:top w:val="single" w:sz="4" w:color="000000"/>
              <w:left w:val="single" w:sz="4" w:color="000000"/>
              <w:bottom w:val="single" w:sz="4" w:color="000000"/>
              <w:right w:val="single" w:sz="4" w:color="000000"/>
            </w:tcBorders>
          </w:tcPr>
          <w:p>
            <w:pPr>
              <w:jc w:val="center"/>
            </w:pPr>
            <w:r>
              <w:rPr>
                <w:b/>
              </w:rPr>
              <w:t>Bui Patches</w:t>
            </w:r>
          </w:p>
        </w:tc>
        <w:tc>
          <w:tcPr>
            <w:tcW w:type="dxa" w:w="1134"/>
            <w:tcBorders>
              <w:top w:val="single" w:sz="4" w:color="000000"/>
              <w:left w:val="single" w:sz="4" w:color="000000"/>
              <w:bottom w:val="single" w:sz="4" w:color="000000"/>
              <w:right w:val="single" w:sz="4" w:color="000000"/>
            </w:tcBorders>
          </w:tcPr>
          <w:p>
            <w:pPr>
              <w:jc w:val="center"/>
            </w:pPr>
            <w:r>
              <w:rPr>
                <w:b/>
              </w:rPr>
              <w:t>Bui LPI (%)</w:t>
            </w:r>
          </w:p>
        </w:tc>
      </w:tr>
      <w:tr>
        <w:tc>
          <w:tcPr>
            <w:tcW w:type="dxa" w:w="1134"/>
            <w:tcBorders>
              <w:top w:val="single" w:sz="4" w:color="000000"/>
              <w:left w:val="single" w:sz="4" w:color="000000"/>
              <w:bottom w:val="single" w:sz="4" w:color="000000"/>
              <w:right w:val="single" w:sz="4" w:color="000000"/>
            </w:tcBorders>
          </w:tcPr>
          <w:p>
            <w:pPr>
              <w:jc w:val="center"/>
            </w:pPr>
            <w:r>
              <w:t>1991</w:t>
            </w:r>
          </w:p>
        </w:tc>
        <w:tc>
          <w:tcPr>
            <w:tcW w:type="dxa" w:w="1134"/>
            <w:tcBorders>
              <w:top w:val="single" w:sz="4" w:color="000000"/>
              <w:left w:val="single" w:sz="4" w:color="000000"/>
              <w:bottom w:val="single" w:sz="4" w:color="000000"/>
              <w:right w:val="single" w:sz="4" w:color="000000"/>
            </w:tcBorders>
          </w:tcPr>
          <w:p>
            <w:pPr>
              <w:jc w:val="center"/>
            </w:pPr>
            <w:r>
              <w:t>0.7531</w:t>
            </w:r>
          </w:p>
        </w:tc>
        <w:tc>
          <w:tcPr>
            <w:tcW w:type="dxa" w:w="1134"/>
            <w:tcBorders>
              <w:top w:val="single" w:sz="4" w:color="000000"/>
              <w:left w:val="single" w:sz="4" w:color="000000"/>
              <w:bottom w:val="single" w:sz="4" w:color="000000"/>
              <w:right w:val="single" w:sz="4" w:color="000000"/>
            </w:tcBorders>
          </w:tcPr>
          <w:p>
            <w:pPr>
              <w:jc w:val="center"/>
            </w:pPr>
            <w:r>
              <w:t>602</w:t>
            </w:r>
          </w:p>
        </w:tc>
        <w:tc>
          <w:tcPr>
            <w:tcW w:type="dxa" w:w="1134"/>
            <w:tcBorders>
              <w:top w:val="single" w:sz="4" w:color="000000"/>
              <w:left w:val="single" w:sz="4" w:color="000000"/>
              <w:bottom w:val="single" w:sz="4" w:color="000000"/>
              <w:right w:val="single" w:sz="4" w:color="000000"/>
            </w:tcBorders>
          </w:tcPr>
          <w:p>
            <w:pPr>
              <w:jc w:val="center"/>
            </w:pPr>
            <w:r>
              <w:t>43.53</w:t>
            </w:r>
          </w:p>
        </w:tc>
        <w:tc>
          <w:tcPr>
            <w:tcW w:type="dxa" w:w="1134"/>
            <w:tcBorders>
              <w:top w:val="single" w:sz="4" w:color="000000"/>
              <w:left w:val="single" w:sz="4" w:color="000000"/>
              <w:bottom w:val="single" w:sz="4" w:color="000000"/>
              <w:right w:val="single" w:sz="4" w:color="000000"/>
            </w:tcBorders>
          </w:tcPr>
          <w:p>
            <w:pPr>
              <w:jc w:val="center"/>
            </w:pPr>
            <w:r>
              <w:t>69</w:t>
            </w:r>
          </w:p>
        </w:tc>
        <w:tc>
          <w:tcPr>
            <w:tcW w:type="dxa" w:w="1134"/>
            <w:tcBorders>
              <w:top w:val="single" w:sz="4" w:color="000000"/>
              <w:left w:val="single" w:sz="4" w:color="000000"/>
              <w:bottom w:val="single" w:sz="4" w:color="000000"/>
              <w:right w:val="single" w:sz="4" w:color="000000"/>
            </w:tcBorders>
          </w:tcPr>
          <w:p>
            <w:pPr>
              <w:jc w:val="center"/>
            </w:pPr>
            <w:r>
              <w:t>1.07</w:t>
            </w:r>
          </w:p>
        </w:tc>
        <w:tc>
          <w:tcPr>
            <w:tcW w:type="dxa" w:w="1134"/>
            <w:tcBorders>
              <w:top w:val="single" w:sz="4" w:color="000000"/>
              <w:left w:val="single" w:sz="4" w:color="000000"/>
              <w:bottom w:val="single" w:sz="4" w:color="000000"/>
              <w:right w:val="single" w:sz="4" w:color="000000"/>
            </w:tcBorders>
          </w:tcPr>
          <w:p>
            <w:pPr>
              <w:jc w:val="center"/>
            </w:pPr>
            <w:r>
              <w:t>423</w:t>
            </w:r>
          </w:p>
        </w:tc>
        <w:tc>
          <w:tcPr>
            <w:tcW w:type="dxa" w:w="1134"/>
            <w:tcBorders>
              <w:top w:val="single" w:sz="4" w:color="000000"/>
              <w:left w:val="single" w:sz="4" w:color="000000"/>
              <w:bottom w:val="single" w:sz="4" w:color="000000"/>
              <w:right w:val="single" w:sz="4" w:color="000000"/>
            </w:tcBorders>
          </w:tcPr>
          <w:p>
            <w:pPr>
              <w:jc w:val="center"/>
            </w:pPr>
            <w:r>
              <w:t>41.77</w:t>
            </w:r>
          </w:p>
        </w:tc>
      </w:tr>
      <w:tr>
        <w:tc>
          <w:tcPr>
            <w:tcW w:type="dxa" w:w="1134"/>
            <w:tcBorders>
              <w:top w:val="single" w:sz="4" w:color="000000"/>
              <w:left w:val="single" w:sz="4" w:color="000000"/>
              <w:bottom w:val="single" w:sz="4" w:color="000000"/>
              <w:right w:val="single" w:sz="4" w:color="000000"/>
            </w:tcBorders>
          </w:tcPr>
          <w:p>
            <w:pPr>
              <w:jc w:val="center"/>
            </w:pPr>
            <w:r>
              <w:t>2001</w:t>
            </w:r>
          </w:p>
        </w:tc>
        <w:tc>
          <w:tcPr>
            <w:tcW w:type="dxa" w:w="1134"/>
            <w:tcBorders>
              <w:top w:val="single" w:sz="4" w:color="000000"/>
              <w:left w:val="single" w:sz="4" w:color="000000"/>
              <w:bottom w:val="single" w:sz="4" w:color="000000"/>
              <w:right w:val="single" w:sz="4" w:color="000000"/>
            </w:tcBorders>
          </w:tcPr>
          <w:p>
            <w:pPr>
              <w:jc w:val="center"/>
            </w:pPr>
            <w:r>
              <w:t>0.7276</w:t>
            </w:r>
          </w:p>
        </w:tc>
        <w:tc>
          <w:tcPr>
            <w:tcW w:type="dxa" w:w="1134"/>
            <w:tcBorders>
              <w:top w:val="single" w:sz="4" w:color="000000"/>
              <w:left w:val="single" w:sz="4" w:color="000000"/>
              <w:bottom w:val="single" w:sz="4" w:color="000000"/>
              <w:right w:val="single" w:sz="4" w:color="000000"/>
            </w:tcBorders>
          </w:tcPr>
          <w:p>
            <w:pPr>
              <w:jc w:val="center"/>
            </w:pPr>
            <w:r>
              <w:t>661</w:t>
            </w:r>
          </w:p>
        </w:tc>
        <w:tc>
          <w:tcPr>
            <w:tcW w:type="dxa" w:w="1134"/>
            <w:tcBorders>
              <w:top w:val="single" w:sz="4" w:color="000000"/>
              <w:left w:val="single" w:sz="4" w:color="000000"/>
              <w:bottom w:val="single" w:sz="4" w:color="000000"/>
              <w:right w:val="single" w:sz="4" w:color="000000"/>
            </w:tcBorders>
          </w:tcPr>
          <w:p>
            <w:pPr>
              <w:jc w:val="center"/>
            </w:pPr>
            <w:r>
              <w:t>37.74</w:t>
            </w:r>
          </w:p>
        </w:tc>
        <w:tc>
          <w:tcPr>
            <w:tcW w:type="dxa" w:w="1134"/>
            <w:tcBorders>
              <w:top w:val="single" w:sz="4" w:color="000000"/>
              <w:left w:val="single" w:sz="4" w:color="000000"/>
              <w:bottom w:val="single" w:sz="4" w:color="000000"/>
              <w:right w:val="single" w:sz="4" w:color="000000"/>
            </w:tcBorders>
          </w:tcPr>
          <w:p>
            <w:pPr>
              <w:jc w:val="center"/>
            </w:pPr>
            <w:r>
              <w:t>30</w:t>
            </w:r>
          </w:p>
        </w:tc>
        <w:tc>
          <w:tcPr>
            <w:tcW w:type="dxa" w:w="1134"/>
            <w:tcBorders>
              <w:top w:val="single" w:sz="4" w:color="000000"/>
              <w:left w:val="single" w:sz="4" w:color="000000"/>
              <w:bottom w:val="single" w:sz="4" w:color="000000"/>
              <w:right w:val="single" w:sz="4" w:color="000000"/>
            </w:tcBorders>
          </w:tcPr>
          <w:p>
            <w:pPr>
              <w:jc w:val="center"/>
            </w:pPr>
            <w:r>
              <w:t>0.59</w:t>
            </w:r>
          </w:p>
        </w:tc>
        <w:tc>
          <w:tcPr>
            <w:tcW w:type="dxa" w:w="1134"/>
            <w:tcBorders>
              <w:top w:val="single" w:sz="4" w:color="000000"/>
              <w:left w:val="single" w:sz="4" w:color="000000"/>
              <w:bottom w:val="single" w:sz="4" w:color="000000"/>
              <w:right w:val="single" w:sz="4" w:color="000000"/>
            </w:tcBorders>
          </w:tcPr>
          <w:p>
            <w:pPr>
              <w:jc w:val="center"/>
            </w:pPr>
            <w:r>
              <w:t>328</w:t>
            </w:r>
          </w:p>
        </w:tc>
        <w:tc>
          <w:tcPr>
            <w:tcW w:type="dxa" w:w="1134"/>
            <w:tcBorders>
              <w:top w:val="single" w:sz="4" w:color="000000"/>
              <w:left w:val="single" w:sz="4" w:color="000000"/>
              <w:bottom w:val="single" w:sz="4" w:color="000000"/>
              <w:right w:val="single" w:sz="4" w:color="000000"/>
            </w:tcBorders>
          </w:tcPr>
          <w:p>
            <w:pPr>
              <w:jc w:val="center"/>
            </w:pPr>
            <w:r>
              <w:t>51.49</w:t>
            </w:r>
          </w:p>
        </w:tc>
      </w:tr>
      <w:tr>
        <w:tc>
          <w:tcPr>
            <w:tcW w:type="dxa" w:w="1134"/>
            <w:tcBorders>
              <w:top w:val="single" w:sz="4" w:color="000000"/>
              <w:left w:val="single" w:sz="4" w:color="000000"/>
              <w:bottom w:val="single" w:sz="4" w:color="000000"/>
              <w:right w:val="single" w:sz="4" w:color="000000"/>
            </w:tcBorders>
          </w:tcPr>
          <w:p>
            <w:pPr>
              <w:jc w:val="center"/>
            </w:pPr>
            <w:r>
              <w:t>2015</w:t>
            </w:r>
          </w:p>
        </w:tc>
        <w:tc>
          <w:tcPr>
            <w:tcW w:type="dxa" w:w="1134"/>
            <w:tcBorders>
              <w:top w:val="single" w:sz="4" w:color="000000"/>
              <w:left w:val="single" w:sz="4" w:color="000000"/>
              <w:bottom w:val="single" w:sz="4" w:color="000000"/>
              <w:right w:val="single" w:sz="4" w:color="000000"/>
            </w:tcBorders>
          </w:tcPr>
          <w:p>
            <w:pPr>
              <w:jc w:val="center"/>
            </w:pPr>
            <w:r>
              <w:t>0.6872</w:t>
            </w:r>
          </w:p>
        </w:tc>
        <w:tc>
          <w:tcPr>
            <w:tcW w:type="dxa" w:w="1134"/>
            <w:tcBorders>
              <w:top w:val="single" w:sz="4" w:color="000000"/>
              <w:left w:val="single" w:sz="4" w:color="000000"/>
              <w:bottom w:val="single" w:sz="4" w:color="000000"/>
              <w:right w:val="single" w:sz="4" w:color="000000"/>
            </w:tcBorders>
          </w:tcPr>
          <w:p>
            <w:pPr>
              <w:jc w:val="center"/>
            </w:pPr>
            <w:r>
              <w:t>817</w:t>
            </w:r>
          </w:p>
        </w:tc>
        <w:tc>
          <w:tcPr>
            <w:tcW w:type="dxa" w:w="1134"/>
            <w:tcBorders>
              <w:top w:val="single" w:sz="4" w:color="000000"/>
              <w:left w:val="single" w:sz="4" w:color="000000"/>
              <w:bottom w:val="single" w:sz="4" w:color="000000"/>
              <w:right w:val="single" w:sz="4" w:color="000000"/>
            </w:tcBorders>
          </w:tcPr>
          <w:p>
            <w:pPr>
              <w:jc w:val="center"/>
            </w:pPr>
            <w:r>
              <w:t>24.92</w:t>
            </w:r>
          </w:p>
        </w:tc>
        <w:tc>
          <w:tcPr>
            <w:tcW w:type="dxa" w:w="1134"/>
            <w:tcBorders>
              <w:top w:val="single" w:sz="4" w:color="000000"/>
              <w:left w:val="single" w:sz="4" w:color="000000"/>
              <w:bottom w:val="single" w:sz="4" w:color="000000"/>
              <w:right w:val="single" w:sz="4" w:color="000000"/>
            </w:tcBorders>
          </w:tcPr>
          <w:p>
            <w:pPr>
              <w:jc w:val="center"/>
            </w:pPr>
            <w:r>
              <w:t>25</w:t>
            </w:r>
          </w:p>
        </w:tc>
        <w:tc>
          <w:tcPr>
            <w:tcW w:type="dxa" w:w="1134"/>
            <w:tcBorders>
              <w:top w:val="single" w:sz="4" w:color="000000"/>
              <w:left w:val="single" w:sz="4" w:color="000000"/>
              <w:bottom w:val="single" w:sz="4" w:color="000000"/>
              <w:right w:val="single" w:sz="4" w:color="000000"/>
            </w:tcBorders>
          </w:tcPr>
          <w:p>
            <w:pPr>
              <w:jc w:val="center"/>
            </w:pPr>
            <w:r>
              <w:t>0.76</w:t>
            </w:r>
          </w:p>
        </w:tc>
        <w:tc>
          <w:tcPr>
            <w:tcW w:type="dxa" w:w="1134"/>
            <w:tcBorders>
              <w:top w:val="single" w:sz="4" w:color="000000"/>
              <w:left w:val="single" w:sz="4" w:color="000000"/>
              <w:bottom w:val="single" w:sz="4" w:color="000000"/>
              <w:right w:val="single" w:sz="4" w:color="000000"/>
            </w:tcBorders>
          </w:tcPr>
          <w:p>
            <w:pPr>
              <w:jc w:val="center"/>
            </w:pPr>
            <w:r>
              <w:t>493</w:t>
            </w:r>
          </w:p>
        </w:tc>
        <w:tc>
          <w:tcPr>
            <w:tcW w:type="dxa" w:w="1134"/>
            <w:tcBorders>
              <w:top w:val="single" w:sz="4" w:color="000000"/>
              <w:left w:val="single" w:sz="4" w:color="000000"/>
              <w:bottom w:val="single" w:sz="4" w:color="000000"/>
              <w:right w:val="single" w:sz="4" w:color="000000"/>
            </w:tcBorders>
          </w:tcPr>
          <w:p>
            <w:pPr>
              <w:jc w:val="center"/>
            </w:pPr>
            <w:r>
              <w:t>54.95</w:t>
            </w:r>
          </w:p>
        </w:tc>
      </w:tr>
      <w:tr>
        <w:tc>
          <w:tcPr>
            <w:tcW w:type="dxa" w:w="1134"/>
            <w:tcBorders>
              <w:top w:val="single" w:sz="4" w:color="000000"/>
              <w:left w:val="single" w:sz="4" w:color="000000"/>
              <w:bottom w:val="single" w:sz="4" w:color="000000"/>
              <w:right w:val="single" w:sz="4" w:color="000000"/>
            </w:tcBorders>
          </w:tcPr>
          <w:p>
            <w:pPr>
              <w:jc w:val="center"/>
            </w:pPr>
            <w:r>
              <w:t>2025</w:t>
            </w:r>
          </w:p>
        </w:tc>
        <w:tc>
          <w:tcPr>
            <w:tcW w:type="dxa" w:w="1134"/>
            <w:tcBorders>
              <w:top w:val="single" w:sz="4" w:color="000000"/>
              <w:left w:val="single" w:sz="4" w:color="000000"/>
              <w:bottom w:val="single" w:sz="4" w:color="000000"/>
              <w:right w:val="single" w:sz="4" w:color="000000"/>
            </w:tcBorders>
          </w:tcPr>
          <w:p>
            <w:pPr>
              <w:jc w:val="center"/>
            </w:pPr>
            <w:r>
              <w:t>0.7327</w:t>
            </w:r>
          </w:p>
        </w:tc>
        <w:tc>
          <w:tcPr>
            <w:tcW w:type="dxa" w:w="1134"/>
            <w:tcBorders>
              <w:top w:val="single" w:sz="4" w:color="000000"/>
              <w:left w:val="single" w:sz="4" w:color="000000"/>
              <w:bottom w:val="single" w:sz="4" w:color="000000"/>
              <w:right w:val="single" w:sz="4" w:color="000000"/>
            </w:tcBorders>
          </w:tcPr>
          <w:p>
            <w:pPr>
              <w:jc w:val="center"/>
            </w:pPr>
            <w:r>
              <w:t>790</w:t>
            </w:r>
          </w:p>
        </w:tc>
        <w:tc>
          <w:tcPr>
            <w:tcW w:type="dxa" w:w="1134"/>
            <w:tcBorders>
              <w:top w:val="single" w:sz="4" w:color="000000"/>
              <w:left w:val="single" w:sz="4" w:color="000000"/>
              <w:bottom w:val="single" w:sz="4" w:color="000000"/>
              <w:right w:val="single" w:sz="4" w:color="000000"/>
            </w:tcBorders>
          </w:tcPr>
          <w:p>
            <w:pPr>
              <w:jc w:val="center"/>
            </w:pPr>
            <w:r>
              <w:t>38.05</w:t>
            </w:r>
          </w:p>
        </w:tc>
        <w:tc>
          <w:tcPr>
            <w:tcW w:type="dxa" w:w="1134"/>
            <w:tcBorders>
              <w:top w:val="single" w:sz="4" w:color="000000"/>
              <w:left w:val="single" w:sz="4" w:color="000000"/>
              <w:bottom w:val="single" w:sz="4" w:color="000000"/>
              <w:right w:val="single" w:sz="4" w:color="000000"/>
            </w:tcBorders>
          </w:tcPr>
          <w:p>
            <w:pPr>
              <w:jc w:val="center"/>
            </w:pPr>
            <w:r>
              <w:t>29</w:t>
            </w:r>
          </w:p>
        </w:tc>
        <w:tc>
          <w:tcPr>
            <w:tcW w:type="dxa" w:w="1134"/>
            <w:tcBorders>
              <w:top w:val="single" w:sz="4" w:color="000000"/>
              <w:left w:val="single" w:sz="4" w:color="000000"/>
              <w:bottom w:val="single" w:sz="4" w:color="000000"/>
              <w:right w:val="single" w:sz="4" w:color="000000"/>
            </w:tcBorders>
          </w:tcPr>
          <w:p>
            <w:pPr>
              <w:jc w:val="center"/>
            </w:pPr>
            <w:r>
              <w:t>0.78</w:t>
            </w:r>
          </w:p>
        </w:tc>
        <w:tc>
          <w:tcPr>
            <w:tcW w:type="dxa" w:w="1134"/>
            <w:tcBorders>
              <w:top w:val="single" w:sz="4" w:color="000000"/>
              <w:left w:val="single" w:sz="4" w:color="000000"/>
              <w:bottom w:val="single" w:sz="4" w:color="000000"/>
              <w:right w:val="single" w:sz="4" w:color="000000"/>
            </w:tcBorders>
          </w:tcPr>
          <w:p>
            <w:pPr>
              <w:jc w:val="center"/>
            </w:pPr>
            <w:r>
              <w:t>629</w:t>
            </w:r>
          </w:p>
        </w:tc>
        <w:tc>
          <w:tcPr>
            <w:tcW w:type="dxa" w:w="1134"/>
            <w:tcBorders>
              <w:top w:val="single" w:sz="4" w:color="000000"/>
              <w:left w:val="single" w:sz="4" w:color="000000"/>
              <w:bottom w:val="single" w:sz="4" w:color="000000"/>
              <w:right w:val="single" w:sz="4" w:color="000000"/>
            </w:tcBorders>
          </w:tcPr>
          <w:p>
            <w:pPr>
              <w:jc w:val="center"/>
            </w:pPr>
            <w:r>
              <w:t>48.72</w:t>
            </w:r>
          </w:p>
        </w:tc>
      </w:tr>
      <w:tr>
        <w:tc>
          <w:tcPr>
            <w:tcW w:type="dxa" w:w="1134"/>
            <w:tcBorders>
              <w:top w:val="single" w:sz="4" w:color="000000"/>
              <w:left w:val="single" w:sz="4" w:color="000000"/>
              <w:bottom w:val="single" w:sz="4" w:color="000000"/>
              <w:right w:val="single" w:sz="4" w:color="000000"/>
            </w:tcBorders>
          </w:tcPr>
          <w:p>
            <w:pPr>
              <w:jc w:val="center"/>
            </w:pPr>
            <w:r>
              <w:t>2035 (P)</w:t>
            </w:r>
          </w:p>
        </w:tc>
        <w:tc>
          <w:tcPr>
            <w:tcW w:type="dxa" w:w="1134"/>
            <w:tcBorders>
              <w:top w:val="single" w:sz="4" w:color="000000"/>
              <w:left w:val="single" w:sz="4" w:color="000000"/>
              <w:bottom w:val="single" w:sz="4" w:color="000000"/>
              <w:right w:val="single" w:sz="4" w:color="000000"/>
            </w:tcBorders>
          </w:tcPr>
          <w:p>
            <w:pPr>
              <w:jc w:val="center"/>
            </w:pPr>
            <w:r>
              <w:t>0.7314</w:t>
            </w:r>
          </w:p>
        </w:tc>
        <w:tc>
          <w:tcPr>
            <w:tcW w:type="dxa" w:w="1134"/>
            <w:tcBorders>
              <w:top w:val="single" w:sz="4" w:color="000000"/>
              <w:left w:val="single" w:sz="4" w:color="000000"/>
              <w:bottom w:val="single" w:sz="4" w:color="000000"/>
              <w:right w:val="single" w:sz="4" w:color="000000"/>
            </w:tcBorders>
          </w:tcPr>
          <w:p>
            <w:pPr>
              <w:jc w:val="center"/>
            </w:pPr>
            <w:r>
              <w:t>7767</w:t>
            </w:r>
          </w:p>
        </w:tc>
        <w:tc>
          <w:tcPr>
            <w:tcW w:type="dxa" w:w="1134"/>
            <w:tcBorders>
              <w:top w:val="single" w:sz="4" w:color="000000"/>
              <w:left w:val="single" w:sz="4" w:color="000000"/>
              <w:bottom w:val="single" w:sz="4" w:color="000000"/>
              <w:right w:val="single" w:sz="4" w:color="000000"/>
            </w:tcBorders>
          </w:tcPr>
          <w:p>
            <w:pPr>
              <w:jc w:val="center"/>
            </w:pPr>
            <w:r>
              <w:t>35.49</w:t>
            </w:r>
          </w:p>
        </w:tc>
        <w:tc>
          <w:tcPr>
            <w:tcW w:type="dxa" w:w="1134"/>
            <w:tcBorders>
              <w:top w:val="single" w:sz="4" w:color="000000"/>
              <w:left w:val="single" w:sz="4" w:color="000000"/>
              <w:bottom w:val="single" w:sz="4" w:color="000000"/>
              <w:right w:val="single" w:sz="4" w:color="000000"/>
            </w:tcBorders>
          </w:tcPr>
          <w:p>
            <w:pPr>
              <w:jc w:val="center"/>
            </w:pPr>
            <w:r>
              <w:t>191</w:t>
            </w:r>
          </w:p>
        </w:tc>
        <w:tc>
          <w:tcPr>
            <w:tcW w:type="dxa" w:w="1134"/>
            <w:tcBorders>
              <w:top w:val="single" w:sz="4" w:color="000000"/>
              <w:left w:val="single" w:sz="4" w:color="000000"/>
              <w:bottom w:val="single" w:sz="4" w:color="000000"/>
              <w:right w:val="single" w:sz="4" w:color="000000"/>
            </w:tcBorders>
          </w:tcPr>
          <w:p>
            <w:pPr>
              <w:jc w:val="center"/>
            </w:pPr>
            <w:r>
              <w:t>0.51</w:t>
            </w:r>
          </w:p>
        </w:tc>
        <w:tc>
          <w:tcPr>
            <w:tcW w:type="dxa" w:w="1134"/>
            <w:tcBorders>
              <w:top w:val="single" w:sz="4" w:color="000000"/>
              <w:left w:val="single" w:sz="4" w:color="000000"/>
              <w:bottom w:val="single" w:sz="4" w:color="000000"/>
              <w:right w:val="single" w:sz="4" w:color="000000"/>
            </w:tcBorders>
          </w:tcPr>
          <w:p>
            <w:pPr>
              <w:jc w:val="center"/>
            </w:pPr>
            <w:r>
              <w:t>4820</w:t>
            </w:r>
          </w:p>
        </w:tc>
        <w:tc>
          <w:tcPr>
            <w:tcW w:type="dxa" w:w="1134"/>
            <w:tcBorders>
              <w:top w:val="single" w:sz="4" w:color="000000"/>
              <w:left w:val="single" w:sz="4" w:color="000000"/>
              <w:bottom w:val="single" w:sz="4" w:color="000000"/>
              <w:right w:val="single" w:sz="4" w:color="000000"/>
            </w:tcBorders>
          </w:tcPr>
          <w:p>
            <w:pPr>
              <w:jc w:val="center"/>
            </w:pPr>
            <w:r>
              <w:t>35.53</w:t>
            </w:r>
          </w:p>
        </w:tc>
      </w:tr>
    </w:tbl>
    <w:p/>
    <w:p>
      <w:r>
        <w:rPr>
          <w:i/>
          <w:sz w:val="18"/>
        </w:rPr>
        <w:t>Table 10: Landscape metrics — Muni-Pomadze. (P) = Predicted.</w:t>
      </w:r>
    </w:p>
    <w:p/>
    <w:p>
      <w:pPr>
        <w:jc w:val="center"/>
      </w:pPr>
      <w:r>
        <w:drawing>
          <wp:inline xmlns:a="http://schemas.openxmlformats.org/drawingml/2006/main" xmlns:pic="http://schemas.openxmlformats.org/drawingml/2006/picture">
            <wp:extent cx="5760000" cy="1792644"/>
            <wp:docPr id="18" name="Picture 18"/>
            <wp:cNvGraphicFramePr>
              <a:graphicFrameLocks noChangeAspect="1"/>
            </wp:cNvGraphicFramePr>
            <a:graphic>
              <a:graphicData uri="http://schemas.openxmlformats.org/drawingml/2006/picture">
                <pic:pic>
                  <pic:nvPicPr>
                    <pic:cNvPr id="0" name="muni_landscape_metrics.png"/>
                    <pic:cNvPicPr/>
                  </pic:nvPicPr>
                  <pic:blipFill>
                    <a:blip r:embed="rId26"/>
                    <a:stretch>
                      <a:fillRect/>
                    </a:stretch>
                  </pic:blipFill>
                  <pic:spPr>
                    <a:xfrm>
                      <a:off x="0" y="0"/>
                      <a:ext cx="5760000" cy="1792644"/>
                    </a:xfrm>
                    <a:prstGeom prst="rect"/>
                  </pic:spPr>
                </pic:pic>
              </a:graphicData>
            </a:graphic>
          </wp:inline>
        </w:drawing>
      </w:r>
    </w:p>
    <w:p>
      <w:pPr>
        <w:jc w:val="center"/>
      </w:pPr>
      <w:r>
        <w:rPr>
          <w:i/>
          <w:sz w:val="18"/>
        </w:rPr>
        <w:t>Figure: Muni-Pomadze — Landscape metrics 1991–2035.</w:t>
      </w:r>
    </w:p>
    <w:p/>
    <w:p>
      <w:r>
        <w:br w:type="page"/>
      </w:r>
    </w:p>
    <w:p>
      <w:pPr>
        <w:pStyle w:val="Heading1"/>
      </w:pPr>
      <w:r>
        <w:t>3. Discussion</w:t>
      </w:r>
    </w:p>
    <w:p>
      <w:r>
        <w:t>The analysis reveals substantial LULC transformations at both Ramsar sites over the 34-year study period. At Keta Lagoon Complex, 'Built up/Bareland' experienced the greatest absolute change (361.9 km²), reflecting the intensity of coastal land transformation processes — including artisanal salt harvesting, commercial fishing infrastructure, and peri-urban growth — that characterise this area. Built up/Bareland expansion at Keta (+361.9 km² from 1991 to 2025) is consistent with documented urbanisation trends along Ghana's Volta coast.</w:t>
      </w:r>
    </w:p>
    <w:p>
      <w:r>
        <w:t>At Muni-Pomadze, 'Vegetation' registered the largest change (7.4 km²). Despite the site's smaller spatial extent, proportional changes are significant, highlighting its vulnerability to relatively modest anthropogenic disturbances including small-scale subsistence agriculture, coastal erosion and seasonal hydrological variability. The Vegetation change of -7.4 km² between 1991 and 2025 indicates progressive habitat loss in an already compact wetland system.</w:t>
      </w:r>
    </w:p>
    <w:p>
      <w:r>
        <w:t>Comparing the two sites, Keta Lagoon Complex exhibits larger absolute changes owing to its greater total extent, while Muni-Pomadze shows disproportionate proportional changes relative to its area. Both sites display the hallmarks of wetland degradation documented across West Africa: shrinking water bodies, declining natural vegetation cover, and expanding degraded or built-up land (Ozesmi &amp; Bauer, 2002; Dronova, 2015).</w:t>
      </w:r>
    </w:p>
    <w:p>
      <w:r>
        <w:t>The CA-Markov projections to 2035 indicate that, absent targeted management intervention, current degradation trajectories will persist. The high row-wise probabilities of remaining in the Built up/Bareland class in the 2015–2025 TPMs confirm this class's stability and near-irreversible nature once established. Vegetation-to-Bareland transitions at both sites reinforce the urgency of proactive conservation measures.</w:t>
      </w:r>
    </w:p>
    <w:p>
      <w:r>
        <w:t>Shannon Diversity Index trends provide additional evidence of changing landscape structure. Declining SDI values over time indicate decreasing landscape heterogeneity, with one or a few classes increasingly dominating the landscape — adverse for biodiversity and ecosystem resilience. The fragmentation metrics (increasing patch counts, declining mean patch size) suggest progressive habitat fragmentation, reducing landscape connectivity for wetland-dependent species. These findings have direct implications for Ramsar site management: specifically, the need to enforce existing protection boundaries, develop wetland buffer zones, support community-based conservation programmes, and integrate remote-sensing-based monitoring into national environmental governance frameworks.</w:t>
      </w:r>
    </w:p>
    <w:p>
      <w:r>
        <w:br w:type="page"/>
      </w:r>
    </w:p>
    <w:p>
      <w:pPr>
        <w:pStyle w:val="Heading1"/>
      </w:pPr>
      <w:r>
        <w:t>4. Conclusion</w:t>
      </w:r>
    </w:p>
    <w:p>
      <w:r>
        <w:t>This study provides a comprehensive multi-temporal LULC assessment at Keta Lagoon Complex and Muni-Pomadze Ramsar Sites in Ghana from 1991 to 2025, with CA-Markov projections to 2035. SVM-classified Landsat imagery achieved satisfactory accuracy across all time periods (OA: 81.4%–86.9% for Keta; 83.3%–90.0% for Muni-Pomadze). Both sites exhibit clear evidence of wetland degradation — declining Vegetation and Water body extent alongside expanding Built up/Bareland — with trends projected to continue through 2035 under business-as-usual land management.</w:t>
      </w:r>
    </w:p>
    <w:p>
      <w:r>
        <w:t>Key recommendations emerging from this work include: (i) strengthened enforcement of Ramsar site boundary protection zones; (ii) community-engaged sustainable livelihood programmes to reduce encroachment pressure; (iii) establishment of a near-real-time remote sensing monitoring programme using freely available Landsat/Sentinel imagery; and (iv) integration of wetland ecosystem service valuation into national land-use planning and environmental impact assessment processes. Future research should incorporate field-based vegetation surveys, hydrological data and socioeconomic driver analysis to develop a more complete causal model of degradation at these globally important wetland sites.</w:t>
      </w:r>
    </w:p>
    <w:p>
      <w:r>
        <w:br w:type="page"/>
      </w:r>
    </w:p>
    <w:p>
      <w:pPr>
        <w:pStyle w:val="Heading1"/>
      </w:pPr>
      <w:r>
        <w:t>5. References</w:t>
      </w:r>
    </w:p>
    <w:p>
      <w:pPr>
        <w:ind w:hanging="283" w:left="283"/>
      </w:pPr>
      <w:r>
        <w:t>Congalton, R. G., &amp; Green, K. (2019). Assessing the accuracy of remotely sensed data: Principles and practices (3rd ed.). CRC Press.</w:t>
      </w:r>
    </w:p>
    <w:p>
      <w:pPr>
        <w:ind w:hanging="283" w:left="283"/>
      </w:pPr>
      <w:r>
        <w:t>Dronova, I. (2015). Object-based image analysis in wetland research: A review. Remote Sensing, 7(5), 6380–6413. https://doi.org/10.3390/rs70506380</w:t>
      </w:r>
    </w:p>
    <w:p>
      <w:pPr>
        <w:ind w:hanging="283" w:left="283"/>
      </w:pPr>
      <w:r>
        <w:t>Giri, C., Zhu, Z., &amp; Reed, B. (2005). A comparative analysis of the Global Land Cover 2000 and MODIS land cover data sets. Remote Sensing of Environment, 94(1), 123–132. https://doi.org/10.1016/j.rse.2004.09.005</w:t>
      </w:r>
    </w:p>
    <w:p>
      <w:pPr>
        <w:ind w:hanging="283" w:left="283"/>
      </w:pPr>
      <w:r>
        <w:t>Ozesmi, S. L., &amp; Bauer, M. E. (2002). Satellite remote sensing of wetlands. Wetlands Ecology and Management, 10(5), 381–402. https://doi.org/10.1023/A:1020908432489</w:t>
      </w:r>
    </w:p>
    <w:p>
      <w:pPr>
        <w:ind w:hanging="283" w:left="283"/>
      </w:pPr>
      <w:r>
        <w:t>Prigent, C., Papa, F., Aires, F., Rossow, W. B., &amp; Matthews, E. (2007). Global inundation dynamics inferred from multiple satellite observations, 1993–2000. Journal of Geophysical Research: Atmospheres, 112(D12). https://doi.org/10.1029/2006JD007847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