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A Safe Bet</w:t>
      </w:r>
    </w:p>
    <w:p>
      <w:pPr>
        <w:pStyle w:val="Title"/>
      </w:pPr>
      <w:r>
        <w:t xml:space="preserve">Data lifecycle and provenance</w:t>
      </w:r>
    </w:p>
    <w:p>
      <w:pPr>
        <w:spacing w:after="160"/>
      </w:pPr>
      <w:r>
        <w:rPr>
          <w:i/>
          <w:iCs/>
        </w:rPr>
        <w:t xml:space="preserve">The journey of the A Safe Bet programme data from the operator platforms to the locked analytical datasets and archive. Programme-level record; one section per dataset.</w:t>
      </w:r>
    </w:p>
    <w:p>
      <w:pPr>
        <w:spacing w:after="160"/>
      </w:pPr>
      <w:r>
        <w:rPr>
          <w:sz w:val="19"/>
          <w:szCs w:val="19"/>
        </w:rPr>
        <w:t xml:space="preserve">Version: 1.0, September 2026. Supersedes the study-level record 03.2 deposited with the proof-of-concept component (osf.io/x6bfd), which remains the version cited by that study.</w:t>
      </w:r>
    </w:p>
    <w:p>
      <w:pPr>
        <w:pStyle w:val="Heading1"/>
        <w:spacing w:after="120" w:before="280"/>
      </w:pPr>
      <w:r>
        <w:t xml:space="preserve">1. Scope</w:t>
      </w:r>
    </w:p>
    <w:p>
      <w:pPr>
        <w:spacing w:after="160"/>
      </w:pPr>
      <w:r>
        <w:t xml:space="preserve">This document is the systems account of where each A Safe Bet (ASB) dataset came from, who controlled each step, and where the data now live. It complements, and does not repeat, four companion sources: the Data Dictionary (common/data-documentation/) owns the schema, including source tables, columns, event types and event fields, with columns flagged by the study that uses them; the analysis code of each study repository owns that study's extraction and build pipeline, including the de-identification boundary documented in the extraction script; the Data Management Plan (common/governance/) owns the compliance account of storage, costs, retention and archiving; and each study's preregistration owns that study's data availability statement. Terms are used as defined in the programme glossary (poc/protocol/02_3_glossary).</w:t>
      </w:r>
    </w:p>
    <w:p>
      <w:pPr>
        <w:spacing w:after="160"/>
      </w:pPr>
      <w:r>
        <w:t xml:space="preserve">The programme holds three families of data: the UK proof-of-concept behavioural and event data (Section 3), the Netherlands observational behavioural and event data (Section 4), and the qualitative recordings and transcripts (Section 5). Sections 2, 6 and 7 describe the environment, custody chain and governance shared by the operator datasets.</w:t>
      </w:r>
    </w:p>
    <w:p>
      <w:pPr>
        <w:pStyle w:val="Heading1"/>
        <w:spacing w:after="120" w:before="280"/>
      </w:pPr>
      <w:r>
        <w:t xml:space="preserve">2. Operator-side data environment (shared by Sections 3 and 4)</w:t>
      </w:r>
    </w:p>
    <w:p>
      <w:pPr>
        <w:spacing w:after="160"/>
      </w:pPr>
      <w:r>
        <w:t xml:space="preserve">During the active project period, the behavioural data of both operator arms were held in a cloud-based analytical data warehouse operated by the platform provider under its own cloud tenancy, in two separate project-and-dataset environments, one per operator arm, both administered by the platform provider; the Netherlands operator ran on the provider's platform. The framework's own data exhaust, comprising tool assignments, message deliveries, threshold events and limit-change events, was captured in the operator event logs and landed in the same warehouse alongside the platform's behavioural tables. The specific warehouse technology and storage locations are recorded in the Data Management Plan; deposited documents describe them generically in line with the programme's de-identification conventions.</w:t>
      </w:r>
    </w:p>
    <w:p>
      <w:pPr>
        <w:pStyle w:val="Heading2"/>
        <w:spacing w:after="100" w:before="200"/>
      </w:pPr>
      <w:r>
        <w:t xml:space="preserve">Access and extraction control</w:t>
      </w:r>
    </w:p>
    <w:p>
      <w:pPr>
        <w:spacing w:after="160"/>
      </w:pPr>
      <w:r>
        <w:t xml:space="preserve">Control over extraction was split, and the split is a point of scientific independence. The research team specified every extraction: all queries were written by the research team. The research team held read-only query access to the study environments, with no write permission to operator tables. Execution was performed by the research team directly once write access to the research-controlled destination storage was in place; the determining constraint was write permission on the destination, not read permission on the source. The operators did not choose what was extracted and did not filter the extraction.</w:t>
      </w:r>
    </w:p>
    <w:p>
      <w:pPr>
        <w:pStyle w:val="Heading2"/>
        <w:spacing w:after="100" w:before="200"/>
      </w:pPr>
      <w:r>
        <w:t xml:space="preserve">Extraction and transfer</w:t>
      </w:r>
    </w:p>
    <w:p>
      <w:pPr>
        <w:spacing w:after="160"/>
      </w:pPr>
      <w:r>
        <w:t xml:space="preserve">Small interim extractions were made during the project for data checks only; they were never used analytically. The analytical data came from a single bulk extraction at study close, across all agreed tables and both operator arms, and that extraction is the source of record. Data were exported in sharded columnar files (Parquet) and written server-to-server from the operator warehouse into research-controlled cloud storage, then pulled to the university's secure research computing environment. No portable media and no manual file handover were involved at any step.</w:t>
      </w:r>
    </w:p>
    <w:p>
      <w:pPr>
        <w:pStyle w:val="Heading2"/>
        <w:spacing w:after="100" w:before="200"/>
      </w:pPr>
      <w:r>
        <w:t xml:space="preserve">The pseudonymisation boundary</w:t>
      </w:r>
    </w:p>
    <w:p>
      <w:pPr>
        <w:spacing w:after="160"/>
      </w:pPr>
      <w:r>
        <w:t xml:space="preserve">Pseudonymisation was performed operator-side, before any transfer, using operator-assigned hashed identifiers. The research team never held a linkage key, and the university becomes data controller only on receipt of the pseudonymised data. A second, schema-level boundary sits in the analysis pipeline: the extraction script (poc/code/00_poc_pull.R) is the single point at which operator-original schema identifiers are translated to the programme's neutral names, driven by an internal rename crosswalk that holds the original names and is withheld with the restricted data, never deposited. Downstream of that script every pipeline and every deposited document uses neutral names only.</w:t>
      </w:r>
    </w:p>
    <w:p>
      <w:pPr>
        <w:pStyle w:val="Heading1"/>
        <w:spacing w:after="120" w:before="280"/>
      </w:pPr>
      <w:r>
        <w:t xml:space="preserve">3. Dataset: UK proof of concept (SunVegas, Playtech)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Pr>
          <w:p>
            <w:r>
              <w:rPr>
                <w:b/>
                <w:bCs/>
                <w:sz w:val="19"/>
                <w:szCs w:val="19"/>
              </w:rPr>
              <w:t xml:space="preserve">Item</w:t>
            </w:r>
          </w:p>
        </w:tc>
        <w:tc>
          <w:tcPr>
            <w:tcW w:type="dxa" w:w="7160"/>
          </w:tcPr>
          <w:p>
            <w:r>
              <w:rPr>
                <w:b/>
                <w:bCs/>
                <w:sz w:val="19"/>
                <w:szCs w:val="19"/>
              </w:rPr>
              <w:t xml:space="preserve">Record</w:t>
            </w:r>
          </w:p>
        </w:tc>
      </w:tr>
      <w:tr>
        <w:tc>
          <w:tcPr>
            <w:tcW w:type="dxa" w:w="2200"/>
          </w:tcPr>
          <w:p>
            <w:r>
              <w:rPr>
                <w:b w:val="false"/>
                <w:bCs w:val="false"/>
                <w:sz w:val="19"/>
                <w:szCs w:val="19"/>
              </w:rPr>
              <w:t xml:space="preserve">Study</w:t>
            </w:r>
          </w:p>
        </w:tc>
        <w:tc>
          <w:tcPr>
            <w:tcW w:type="dxa" w:w="7160"/>
          </w:tcPr>
          <w:p>
            <w:r>
              <w:rPr>
                <w:b w:val="false"/>
                <w:bCs w:val="false"/>
                <w:sz w:val="19"/>
                <w:szCs w:val="19"/>
              </w:rPr>
              <w:t xml:space="preserve">Proof-of-concept evaluation (repository: poc). Preregistration osf.io/azqvc.</w:t>
            </w:r>
          </w:p>
        </w:tc>
      </w:tr>
      <w:tr>
        <w:tc>
          <w:tcPr>
            <w:tcW w:type="dxa" w:w="2200"/>
          </w:tcPr>
          <w:p>
            <w:r>
              <w:rPr>
                <w:b w:val="false"/>
                <w:bCs w:val="false"/>
                <w:sz w:val="19"/>
                <w:szCs w:val="19"/>
              </w:rPr>
              <w:t xml:space="preserve">Period</w:t>
            </w:r>
          </w:p>
        </w:tc>
        <w:tc>
          <w:tcPr>
            <w:tcW w:type="dxa" w:w="7160"/>
          </w:tcPr>
          <w:p>
            <w:r>
              <w:rPr>
                <w:b w:val="false"/>
                <w:bCs w:val="false"/>
                <w:sz w:val="19"/>
                <w:szCs w:val="19"/>
              </w:rPr>
              <w:t xml:space="preserve">Baseline 1 April to 30 September 2024; intervention 1 October 2024 to 31 March 2025.</w:t>
            </w:r>
          </w:p>
        </w:tc>
      </w:tr>
      <w:tr>
        <w:tc>
          <w:tcPr>
            <w:tcW w:type="dxa" w:w="2200"/>
          </w:tcPr>
          <w:p>
            <w:r>
              <w:rPr>
                <w:b w:val="false"/>
                <w:bCs w:val="false"/>
                <w:sz w:val="19"/>
                <w:szCs w:val="19"/>
              </w:rPr>
              <w:t xml:space="preserve">Participants</w:t>
            </w:r>
          </w:p>
        </w:tc>
        <w:tc>
          <w:tcPr>
            <w:tcW w:type="dxa" w:w="7160"/>
          </w:tcPr>
          <w:p>
            <w:r>
              <w:rPr>
                <w:b w:val="false"/>
                <w:bCs w:val="false"/>
                <w:sz w:val="19"/>
                <w:szCs w:val="19"/>
              </w:rPr>
              <w:t xml:space="preserve">6,000 selected at launch; 5,808 in the analytical sample.</w:t>
            </w:r>
          </w:p>
        </w:tc>
      </w:tr>
      <w:tr>
        <w:tc>
          <w:tcPr>
            <w:tcW w:type="dxa" w:w="2200"/>
          </w:tcPr>
          <w:p>
            <w:r>
              <w:rPr>
                <w:b w:val="false"/>
                <w:bCs w:val="false"/>
                <w:sz w:val="19"/>
                <w:szCs w:val="19"/>
              </w:rPr>
              <w:t xml:space="preserve">Content</w:t>
            </w:r>
          </w:p>
        </w:tc>
        <w:tc>
          <w:tcPr>
            <w:tcW w:type="dxa" w:w="7160"/>
          </w:tcPr>
          <w:p>
            <w:r>
              <w:rPr>
                <w:b w:val="false"/>
                <w:bCs w:val="false"/>
                <w:sz w:val="19"/>
                <w:szCs w:val="19"/>
              </w:rPr>
              <w:t xml:space="preserve">Daily behavioural summaries, daily risk classifications, cohort and assignment records, platform event streams (messages, tool assignments, limit changes, account tags). Schema in the Data Dictionary, columns flagged used_in_poc_evaluation.</w:t>
            </w:r>
          </w:p>
        </w:tc>
      </w:tr>
      <w:tr>
        <w:tc>
          <w:tcPr>
            <w:tcW w:type="dxa" w:w="2200"/>
          </w:tcPr>
          <w:p>
            <w:r>
              <w:rPr>
                <w:b w:val="false"/>
                <w:bCs w:val="false"/>
                <w:sz w:val="19"/>
                <w:szCs w:val="19"/>
              </w:rPr>
              <w:t xml:space="preserve">Locked analytical dataset</w:t>
            </w:r>
          </w:p>
        </w:tc>
        <w:tc>
          <w:tcPr>
            <w:tcW w:type="dxa" w:w="7160"/>
          </w:tcPr>
          <w:p>
            <w:r>
              <w:rPr>
                <w:b w:val="false"/>
                <w:bCs w:val="false"/>
                <w:sz w:val="19"/>
                <w:szCs w:val="19"/>
              </w:rPr>
              <w:t xml:space="preserve">poc_analytical_LOCKED.rds, locked 16 July 2026; SHA-256 085a91a56d8587dece924ec8644eb1f779971ba6b2821ffcc5f223edb816c110, recorded in the dataset manifest. Lock history, including the two pre-registration corrections and re-locks, is owned by the preregistration, Section 10.3.</w:t>
            </w:r>
          </w:p>
        </w:tc>
      </w:tr>
      <w:tr>
        <w:tc>
          <w:tcPr>
            <w:tcW w:type="dxa" w:w="2200"/>
          </w:tcPr>
          <w:p>
            <w:r>
              <w:rPr>
                <w:b w:val="false"/>
                <w:bCs w:val="false"/>
                <w:sz w:val="19"/>
                <w:szCs w:val="19"/>
              </w:rPr>
              <w:t xml:space="preserve">Consent basis</w:t>
            </w:r>
          </w:p>
        </w:tc>
        <w:tc>
          <w:tcPr>
            <w:tcW w:type="dxa" w:w="7160"/>
          </w:tcPr>
          <w:p>
            <w:r>
              <w:rPr>
                <w:b w:val="false"/>
                <w:bCs w:val="false"/>
                <w:sz w:val="19"/>
                <w:szCs w:val="19"/>
              </w:rPr>
              <w:t xml:space="preserve">Notification-based procedure approved under amendment ETH2324-0128 (GDPR Article 6(1)(e)); right to object under Article 21. Recorded in the Implementation Record (poc/protocol/02_2) Section 1.2 and the preregistration Section 10.2.</w:t>
            </w:r>
          </w:p>
        </w:tc>
      </w:tr>
      <w:tr>
        <w:tc>
          <w:tcPr>
            <w:tcW w:type="dxa" w:w="2200"/>
          </w:tcPr>
          <w:p>
            <w:r>
              <w:rPr>
                <w:b w:val="false"/>
                <w:bCs w:val="false"/>
                <w:sz w:val="19"/>
                <w:szCs w:val="19"/>
              </w:rPr>
              <w:t xml:space="preserve">Availability</w:t>
            </w:r>
          </w:p>
        </w:tc>
        <w:tc>
          <w:tcPr>
            <w:tcW w:type="dxa" w:w="7160"/>
          </w:tcPr>
          <w:p>
            <w:r>
              <w:rPr>
                <w:b w:val="false"/>
                <w:bCs w:val="false"/>
                <w:sz w:val="19"/>
                <w:szCs w:val="19"/>
              </w:rPr>
              <w:t xml:space="preserve">Owned by the preregistration, Section 10.1: analysis code and data dictionary open; a pseudonymised participant-level dataset of the aggregated analysis variables available to qualified researchers under a data use agreement, subject to approval by the participating operator and the university data protection officer; individual event-level data not available; no synthetic dataset deposited.</w:t>
            </w:r>
          </w:p>
        </w:tc>
      </w:tr>
      <w:tr>
        <w:tc>
          <w:tcPr>
            <w:tcW w:type="dxa" w:w="2200"/>
          </w:tcPr>
          <w:p>
            <w:r>
              <w:rPr>
                <w:b w:val="false"/>
                <w:bCs w:val="false"/>
                <w:sz w:val="19"/>
                <w:szCs w:val="19"/>
              </w:rPr>
              <w:t xml:space="preserve">Reused by</w:t>
            </w:r>
          </w:p>
        </w:tc>
        <w:tc>
          <w:tcPr>
            <w:tcW w:type="dxa" w:w="7160"/>
          </w:tcPr>
          <w:p>
            <w:r>
              <w:rPr>
                <w:b w:val="false"/>
                <w:bCs w:val="false"/>
                <w:sz w:val="19"/>
                <w:szCs w:val="19"/>
              </w:rPr>
              <w:t xml:space="preserve">Causal mediation study (repository: mediation) and off-policy evaluation study (repository: ope); each will flag its columns in the Data Dictionary and state its own availability.</w:t>
            </w:r>
          </w:p>
        </w:tc>
      </w:tr>
    </w:tbl>
    <w:p>
      <w:pPr>
        <w:pStyle w:val="Heading1"/>
        <w:spacing w:after="120" w:before="280"/>
      </w:pPr>
      <w:r>
        <w:t xml:space="preserve">4. Dataset: Netherlands observational arm (Holland Casino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Pr>
          <w:p>
            <w:r>
              <w:rPr>
                <w:b/>
                <w:bCs/>
                <w:sz w:val="19"/>
                <w:szCs w:val="19"/>
              </w:rPr>
              <w:t xml:space="preserve">Item</w:t>
            </w:r>
          </w:p>
        </w:tc>
        <w:tc>
          <w:tcPr>
            <w:tcW w:type="dxa" w:w="7160"/>
          </w:tcPr>
          <w:p>
            <w:r>
              <w:rPr>
                <w:b/>
                <w:bCs/>
                <w:sz w:val="19"/>
                <w:szCs w:val="19"/>
              </w:rPr>
              <w:t xml:space="preserve">Record</w:t>
            </w:r>
          </w:p>
        </w:tc>
      </w:tr>
      <w:tr>
        <w:tc>
          <w:tcPr>
            <w:tcW w:type="dxa" w:w="2200"/>
          </w:tcPr>
          <w:p>
            <w:r>
              <w:rPr>
                <w:b w:val="false"/>
                <w:bCs w:val="false"/>
                <w:sz w:val="19"/>
                <w:szCs w:val="19"/>
              </w:rPr>
              <w:t xml:space="preserve">Study</w:t>
            </w:r>
          </w:p>
        </w:tc>
        <w:tc>
          <w:tcPr>
            <w:tcW w:type="dxa" w:w="7160"/>
          </w:tcPr>
          <w:p>
            <w:r>
              <w:rPr>
                <w:b w:val="false"/>
                <w:bCs w:val="false"/>
                <w:sz w:val="19"/>
                <w:szCs w:val="19"/>
              </w:rPr>
              <w:t>No study repository yet. The Data Management Plan (v2, February 2026) designates these data for descriptive and comparative analysis of behaviour under mandatory responsible gambling tool conditions, and for reuse under the ZonMw Thematische Consortia Kansspelverslaving 2025 to 2030 Project 4 programme, governed by the linked ZonMw Data Management Plan. The Data Dictionary reserves the used_in_zonmw usage flag for that work. The arm is not part of the proof-of-concept evaluation, which uses SunVegas data only. [Repository to be named when the reporting study begins.]</w:t>
            </w:r>
          </w:p>
        </w:tc>
      </w:tr>
      <w:tr>
        <w:tc>
          <w:tcPr>
            <w:tcW w:type="dxa" w:w="2200"/>
          </w:tcPr>
          <w:p>
            <w:r>
              <w:rPr>
                <w:b w:val="false"/>
                <w:bCs w:val="false"/>
                <w:sz w:val="19"/>
                <w:szCs w:val="19"/>
              </w:rPr>
              <w:t xml:space="preserve">Period</w:t>
            </w:r>
          </w:p>
        </w:tc>
        <w:tc>
          <w:tcPr>
            <w:tcW w:type="dxa" w:w="7160"/>
          </w:tcPr>
          <w:p>
            <w:r>
              <w:rPr>
                <w:b w:val="false"/>
                <w:bCs w:val="false"/>
                <w:sz w:val="19"/>
                <w:szCs w:val="19"/>
              </w:rPr>
              <w:t>October 2024 to October 2025; the archived data narrative records 1 October 2024 to 31 October 2025. Observational period October 2024 to the end of January 2025, then, from 1 February 2025 to October 2025, a period in which only the regulator-mandated tools were applied, uniformly to all participants. The tailored framework launched on 1 July 2024 and was rolled back on 7 July 2024; no data from that window were retained and none enter any analysis.</w:t>
            </w:r>
          </w:p>
        </w:tc>
      </w:tr>
      <w:tr>
        <w:tc>
          <w:tcPr>
            <w:tcW w:type="dxa" w:w="2200"/>
          </w:tcPr>
          <w:p>
            <w:r>
              <w:rPr>
                <w:b w:val="false"/>
                <w:bCs w:val="false"/>
                <w:sz w:val="19"/>
                <w:szCs w:val="19"/>
              </w:rPr>
              <w:t xml:space="preserve">Participants</w:t>
            </w:r>
          </w:p>
        </w:tc>
        <w:tc>
          <w:tcPr>
            <w:tcW w:type="dxa" w:w="7160"/>
          </w:tcPr>
          <w:p>
            <w:r>
              <w:rPr>
                <w:b w:val="false"/>
                <w:bCs w:val="false"/>
                <w:sz w:val="19"/>
                <w:szCs w:val="19"/>
              </w:rPr>
              <w:t>Approximately 12,700 enrolled at the 1 July 2024 launch and carried through the observational period. The cohort table holds 127,000 participant-month rows for this arm. No analytical sample has been defined.</w:t>
            </w:r>
          </w:p>
        </w:tc>
      </w:tr>
      <w:tr>
        <w:tc>
          <w:tcPr>
            <w:tcW w:type="dxa" w:w="2200"/>
          </w:tcPr>
          <w:p>
            <w:r>
              <w:rPr>
                <w:b w:val="false"/>
                <w:bCs w:val="false"/>
                <w:sz w:val="19"/>
                <w:szCs w:val="19"/>
              </w:rPr>
              <w:t xml:space="preserve">Content</w:t>
            </w:r>
          </w:p>
        </w:tc>
        <w:tc>
          <w:tcPr>
            <w:tcW w:type="dxa" w:w="7160"/>
          </w:tcPr>
          <w:p>
            <w:r>
              <w:rPr>
                <w:b w:val="false"/>
                <w:bCs w:val="false"/>
                <w:sz w:val="19"/>
                <w:szCs w:val="19"/>
              </w:rPr>
              <w:t>Same table families as the UK arm; see the Data Dictionary, rows_holland_casino. Sports-betting and sport-risk fields exist for this arm only.</w:t>
            </w:r>
          </w:p>
        </w:tc>
      </w:tr>
      <w:tr>
        <w:tc>
          <w:tcPr>
            <w:tcW w:type="dxa" w:w="2200"/>
          </w:tcPr>
          <w:p>
            <w:r>
              <w:rPr>
                <w:b w:val="false"/>
                <w:bCs w:val="false"/>
                <w:sz w:val="19"/>
                <w:szCs w:val="19"/>
              </w:rPr>
              <w:t>Extraction and storage</w:t>
            </w:r>
          </w:p>
        </w:tc>
        <w:tc>
          <w:tcPr>
            <w:tcW w:type="dxa" w:w="7160"/>
          </w:tcPr>
          <w:p>
            <w:r>
              <w:rPr>
                <w:b w:val="false"/>
                <w:bCs w:val="false"/>
                <w:sz w:val="19"/>
                <w:szCs w:val="19"/>
              </w:rPr>
              <w:t>Included in the single bulk extraction described in Section 2, written server-to-server to the research-controlled cloud storage bucket and then pulled to the university's secure research computing environment (ECDA), where the arm's Parquet tables and event batches are held in a separate directory from the UK arm; approximately 104 GiB of raw pseudonymised data. Access is limited to named project personnel. For the follow-on ZonMw programme the data are being migrated to SURF Research Drive, with SURF Snellius for computation. [Extraction date not recorded in the sources consulted.]</w:t>
            </w:r>
          </w:p>
        </w:tc>
      </w:tr>
      <w:tr>
        <w:tc>
          <w:tcPr>
            <w:tcW w:type="dxa" w:w="2200"/>
          </w:tcPr>
          <w:p>
            <w:r>
              <w:rPr>
                <w:b w:val="false"/>
                <w:bCs w:val="false"/>
                <w:sz w:val="19"/>
                <w:szCs w:val="19"/>
              </w:rPr>
              <w:t xml:space="preserve">Locked analytical dataset</w:t>
            </w:r>
          </w:p>
        </w:tc>
        <w:tc>
          <w:tcPr>
            <w:tcW w:type="dxa" w:w="7160"/>
          </w:tcPr>
          <w:p>
            <w:r>
              <w:rPr>
                <w:b w:val="false"/>
                <w:bCs w:val="false"/>
                <w:sz w:val="19"/>
                <w:szCs w:val="19"/>
              </w:rPr>
              <w:t xml:space="preserve">None. No study has built or locked an analytical dataset from this arm. </w:t>
            </w:r>
          </w:p>
        </w:tc>
      </w:tr>
      <w:tr>
        <w:tc>
          <w:tcPr>
            <w:tcW w:type="dxa" w:w="2200"/>
          </w:tcPr>
          <w:p>
            <w:r>
              <w:rPr>
                <w:b w:val="false"/>
                <w:bCs w:val="false"/>
                <w:sz w:val="19"/>
                <w:szCs w:val="19"/>
              </w:rPr>
              <w:t xml:space="preserve">Consent basis</w:t>
            </w:r>
          </w:p>
        </w:tc>
        <w:tc>
          <w:tcPr>
            <w:tcW w:type="dxa" w:w="7160"/>
          </w:tcPr>
          <w:p>
            <w:r>
              <w:rPr>
                <w:b w:val="false"/>
                <w:bCs w:val="false"/>
                <w:sz w:val="19"/>
                <w:szCs w:val="19"/>
              </w:rPr>
              <w:t>Same notification-based procedure as the UK arm, approved under amendment ETH2324-0128 (GDPR Article 6(1)(e)): consent embedded in the operator privacy statements, a non-dismissible notification at enrolment, and the right to object under Article 21, assessed by the operator as data controller. The transition to mandated-tools-only delivery was approved under amendment ETH2425-0364 (16 January 2025), which kept the inclusion criteria, enrolment procedures and consent strategy unchanged and issued an updated notification at enrolment.</w:t>
            </w:r>
          </w:p>
        </w:tc>
      </w:tr>
      <w:tr>
        <w:tc>
          <w:tcPr>
            <w:tcW w:type="dxa" w:w="2200"/>
          </w:tcPr>
          <w:p>
            <w:r>
              <w:rPr>
                <w:b w:val="false"/>
                <w:bCs w:val="false"/>
                <w:sz w:val="19"/>
                <w:szCs w:val="19"/>
              </w:rPr>
              <w:t xml:space="preserve">Availability</w:t>
            </w:r>
          </w:p>
        </w:tc>
        <w:tc>
          <w:tcPr>
            <w:tcW w:type="dxa" w:w="7160"/>
          </w:tcPr>
          <w:p>
            <w:r>
              <w:rPr>
                <w:b w:val="false"/>
                <w:bCs w:val="false"/>
                <w:sz w:val="19"/>
                <w:szCs w:val="19"/>
              </w:rPr>
              <w:t>Not yet stated at study level; owned by the preregistration of the study that reports on these data. Programme position from the Data Management Plan (v2): raw player-level data are not shared, on grounds of re-identification risk and the conditions of the operator agreements; raw Parquet files are retained under access controls and are not transferred to an open repository; processed player-level feature datasets are planned for restricted access through DANS; processed aggregated data, code and documentation are planned for open access. Reuse is limited to research purposes compatible with the original agreements; no commercial use.</w:t>
            </w:r>
          </w:p>
        </w:tc>
      </w:tr>
    </w:tbl>
    <w:p>
      <w:pPr>
        <w:pStyle w:val="Heading1"/>
        <w:spacing w:after="120" w:before="280"/>
      </w:pPr>
      <w:r>
        <w:t xml:space="preserve">5. Dataset: qualitative recordings and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Pr>
          <w:p>
            <w:r>
              <w:rPr>
                <w:b/>
                <w:bCs/>
                <w:sz w:val="19"/>
                <w:szCs w:val="19"/>
              </w:rPr>
              <w:t xml:space="preserve">Item</w:t>
            </w:r>
          </w:p>
        </w:tc>
        <w:tc>
          <w:tcPr>
            <w:tcW w:type="dxa" w:w="7160"/>
          </w:tcPr>
          <w:p>
            <w:r>
              <w:rPr>
                <w:b/>
                <w:bCs/>
                <w:sz w:val="19"/>
                <w:szCs w:val="19"/>
              </w:rPr>
              <w:t xml:space="preserve">Record</w:t>
            </w:r>
          </w:p>
        </w:tc>
      </w:tr>
      <w:tr>
        <w:tc>
          <w:tcPr>
            <w:tcW w:type="dxa" w:w="2200"/>
          </w:tcPr>
          <w:p>
            <w:r>
              <w:rPr>
                <w:b w:val="false"/>
                <w:bCs w:val="false"/>
                <w:sz w:val="19"/>
                <w:szCs w:val="19"/>
              </w:rPr>
              <w:t xml:space="preserve">Study</w:t>
            </w:r>
          </w:p>
        </w:tc>
        <w:tc>
          <w:tcPr>
            <w:tcW w:type="dxa" w:w="7160"/>
          </w:tcPr>
          <w:p>
            <w:r>
              <w:rPr>
                <w:b w:val="false"/>
                <w:bCs w:val="false"/>
                <w:sz w:val="19"/>
                <w:szCs w:val="19"/>
              </w:rPr>
              <w:t>Qualitative study of player experience of responsible gambling tools: semi-structured interviews with proof-of-concept players (Holland Casino Online and SunVegas) and Experts by Experience focus groups recruited from Holland Casino Online, with an embedded Q-sort exercise. To be reported in a dedicated qualitative paper. [Repository name to confirm; not yet created.]</w:t>
            </w:r>
          </w:p>
        </w:tc>
      </w:tr>
      <w:tr>
        <w:tc>
          <w:tcPr>
            <w:tcW w:type="dxa" w:w="2200"/>
          </w:tcPr>
          <w:p>
            <w:r>
              <w:rPr>
                <w:b w:val="false"/>
                <w:bCs w:val="false"/>
                <w:sz w:val="19"/>
                <w:szCs w:val="19"/>
              </w:rPr>
              <w:t xml:space="preserve">Ethics</w:t>
            </w:r>
          </w:p>
        </w:tc>
        <w:tc>
          <w:tcPr>
            <w:tcW w:type="dxa" w:w="7160"/>
          </w:tcPr>
          <w:p>
            <w:r>
              <w:rPr>
                <w:b w:val="false"/>
                <w:bCs w:val="false"/>
                <w:sz w:val="19"/>
                <w:szCs w:val="19"/>
              </w:rPr>
              <w:t>Two approvals. Interviews with proof-of-concept players: covered by the proof-of-concept approval ETH2122-0810 and its amendments ETH2324-0128 and ETH2425-0364; explicit informed consent given at Qualtrics sign-up and re-confirmed verbally on record before recording. Experts by Experience panel and focus groups: ETH2223-0828 (DPECS Research Ethics Review Committee, approved 8 April 2024, valid three years); panel-level informed consent at registration covering participation, recording, storage and future research and educational use, with recording consent re-confirmed at each session. Consent records are held with the restricted data.</w:t>
            </w:r>
          </w:p>
        </w:tc>
      </w:tr>
      <w:tr>
        <w:tc>
          <w:tcPr>
            <w:tcW w:type="dxa" w:w="2200"/>
          </w:tcPr>
          <w:p>
            <w:r>
              <w:rPr>
                <w:b w:val="false"/>
                <w:bCs w:val="false"/>
                <w:sz w:val="19"/>
                <w:szCs w:val="19"/>
              </w:rPr>
              <w:t>Sessions</w:t>
            </w:r>
          </w:p>
        </w:tc>
        <w:tc>
          <w:tcPr>
            <w:tcW w:type="dxa" w:w="7160"/>
          </w:tcPr>
          <w:p>
            <w:r>
              <w:rPr>
                <w:b w:val="false"/>
                <w:bCs w:val="false"/>
                <w:sz w:val="19"/>
                <w:szCs w:val="19"/>
              </w:rPr>
              <w:t>23 interviews (17 Holland Casino Online, 6 SunVegas), one-to-one, online via Microsoft Teams, about 30 minutes; SunVegas interviews 23 May to 9 September 2025, Holland Casino Online interviews 5 June to 2 December 2025. Six focus groups (FG1 to FG5 and FG0), 3 June to 26 September 2025, 19 completers, five in Dutch and one in English.</w:t>
            </w:r>
          </w:p>
        </w:tc>
      </w:tr>
      <w:tr>
        <w:tc>
          <w:tcPr>
            <w:tcW w:type="dxa" w:w="2200"/>
          </w:tcPr>
          <w:p>
            <w:r>
              <w:rPr>
                <w:b w:val="false"/>
                <w:bCs w:val="false"/>
                <w:sz w:val="19"/>
                <w:szCs w:val="19"/>
              </w:rPr>
              <w:t xml:space="preserve">Content</w:t>
            </w:r>
          </w:p>
        </w:tc>
        <w:tc>
          <w:tcPr>
            <w:tcW w:type="dxa" w:w="7160"/>
          </w:tcPr>
          <w:p>
            <w:r>
              <w:rPr>
                <w:b w:val="false"/>
                <w:bCs w:val="false"/>
                <w:sz w:val="19"/>
                <w:szCs w:val="19"/>
              </w:rPr>
              <w:t>Interview recordings (23 video files and one audio file) and focus group recordings (6); transcripts in raw, machine, clean, annotated and blinded versions, with Dutch originals and English translations; session summaries, framework matrices and theme development documents; codebook and coding guides; Q-sort data; sign-up, panel and participant logs; consent and voucher records. Coding frames and study materials without participant data are prepared for open deposit.</w:t>
            </w:r>
          </w:p>
        </w:tc>
      </w:tr>
      <w:tr>
        <w:tc>
          <w:tcPr>
            <w:tcW w:type="dxa" w:w="2200"/>
          </w:tcPr>
          <w:p>
            <w:r>
              <w:rPr>
                <w:b w:val="false"/>
                <w:bCs w:val="false"/>
                <w:sz w:val="19"/>
                <w:szCs w:val="19"/>
              </w:rPr>
              <w:t>Recording and transcription</w:t>
            </w:r>
          </w:p>
        </w:tc>
        <w:tc>
          <w:tcPr>
            <w:tcW w:type="dxa" w:w="7160"/>
          </w:tcPr>
          <w:p>
            <w:r>
              <w:rPr>
                <w:b w:val="false"/>
                <w:bCs w:val="false"/>
                <w:sz w:val="19"/>
                <w:szCs w:val="19"/>
              </w:rPr>
              <w:t>Recorded on the conferencing platform with participant consent; the protocols specify a backup recording and transfer to secure storage within 24 hours. Machine first pass (Microsoft Teams auto-transcription; Amberscript), cleaned manually to a clean-verbatim standard with defined non-verbal notation. Dutch sessions cleaned in Dutch and translated to English through Amberscript, both versions kept under matching filenames.</w:t>
            </w:r>
          </w:p>
        </w:tc>
      </w:tr>
      <w:tr>
        <w:tc>
          <w:tcPr>
            <w:tcW w:type="dxa" w:w="2200"/>
          </w:tcPr>
          <w:p>
            <w:r>
              <w:rPr>
                <w:b w:val="false"/>
                <w:bCs w:val="false"/>
                <w:sz w:val="19"/>
                <w:szCs w:val="19"/>
              </w:rPr>
              <w:t>Pseudonymisation</w:t>
            </w:r>
          </w:p>
        </w:tc>
        <w:tc>
          <w:tcPr>
            <w:tcW w:type="dxa" w:w="7160"/>
          </w:tcPr>
          <w:p>
            <w:r>
              <w:rPr>
                <w:b w:val="false"/>
                <w:bCs w:val="false"/>
                <w:sz w:val="19"/>
                <w:szCs w:val="19"/>
              </w:rPr>
              <w:t>Participant names replaced by session codes and identifying details removed at transcription; the blinding key is held separately with the restricted data. Blinded transcript copies (B-codes) were used for summarising blind to risk group.</w:t>
            </w:r>
          </w:p>
        </w:tc>
      </w:tr>
      <w:tr>
        <w:tc>
          <w:tcPr>
            <w:tcW w:type="dxa" w:w="2200"/>
          </w:tcPr>
          <w:p>
            <w:r>
              <w:rPr>
                <w:b w:val="false"/>
                <w:bCs w:val="false"/>
                <w:sz w:val="19"/>
                <w:szCs w:val="19"/>
              </w:rPr>
              <w:t xml:space="preserve">Storage</w:t>
            </w:r>
          </w:p>
        </w:tc>
        <w:tc>
          <w:tcPr>
            <w:tcW w:type="dxa" w:w="7160"/>
          </w:tcPr>
          <w:p>
            <w:r>
              <w:rPr>
                <w:b w:val="false"/>
                <w:bCs w:val="false"/>
                <w:sz w:val="19"/>
                <w:szCs w:val="19"/>
              </w:rPr>
              <w:t>Recordings, transcripts and consent records are held in the restricted-data folder of the qualitative study on Erasmus University Rotterdam infrastructure; the folder is never deposited or shared and access is limited to the named researchers. Recordings are retained together with the transcripts. Retention follows the Erasmus University Rotterdam rule for research data: ten years, archived on EUR infrastructure. Contact details are deleted within one year of study end.</w:t>
            </w:r>
          </w:p>
        </w:tc>
      </w:tr>
      <w:tr>
        <w:tc>
          <w:tcPr>
            <w:tcW w:type="dxa" w:w="2200"/>
          </w:tcPr>
          <w:p>
            <w:r>
              <w:rPr>
                <w:b w:val="false"/>
                <w:bCs w:val="false"/>
                <w:sz w:val="19"/>
                <w:szCs w:val="19"/>
              </w:rPr>
              <w:t xml:space="preserve">Availability</w:t>
            </w:r>
          </w:p>
        </w:tc>
        <w:tc>
          <w:tcPr>
            <w:tcW w:type="dxa" w:w="7160"/>
          </w:tcPr>
          <w:p>
            <w:r>
              <w:rPr>
                <w:b w:val="false"/>
                <w:bCs w:val="false"/>
                <w:sz w:val="19"/>
                <w:szCs w:val="19"/>
              </w:rPr>
              <w:t>Study materials (protocols, topic guide, focus group scripts, Q-sort materials, information, consent and debrief letters, sign-up forms, codebook, coding guides and script-only copies of the sampling code) are prepared for open deposit. Recordings and transcripts are not shared openly. De-identified transcripts are held under restricted access; the Data Management Plan (v2) lists de-identified transcripts, codes and themes for restricted sharing and archives the de-identified transcripts as restricted. [Access route to be stated by the qualitative study.]</w:t>
            </w:r>
          </w:p>
        </w:tc>
      </w:tr>
    </w:tbl>
    <w:p>
      <w:pPr>
        <w:pStyle w:val="Heading1"/>
        <w:spacing w:after="120" w:before="280"/>
      </w:pPr>
      <w:r>
        <w:t xml:space="preserve">6. Research-side custody chain (operator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Pr>
          <w:p>
            <w:r>
              <w:rPr>
                <w:b/>
                <w:bCs/>
                <w:sz w:val="19"/>
                <w:szCs w:val="19"/>
              </w:rPr>
              <w:t xml:space="preserve">Stage</w:t>
            </w:r>
          </w:p>
        </w:tc>
        <w:tc>
          <w:tcPr>
            <w:tcW w:type="dxa" w:w="2800"/>
          </w:tcPr>
          <w:p>
            <w:r>
              <w:rPr>
                <w:b/>
                <w:bCs/>
                <w:sz w:val="19"/>
                <w:szCs w:val="19"/>
              </w:rPr>
              <w:t xml:space="preserve">Holding</w:t>
            </w:r>
          </w:p>
        </w:tc>
        <w:tc>
          <w:tcPr>
            <w:tcW w:type="dxa" w:w="3960"/>
          </w:tcPr>
          <w:p>
            <w:r>
              <w:rPr>
                <w:b/>
                <w:bCs/>
                <w:sz w:val="19"/>
                <w:szCs w:val="19"/>
              </w:rPr>
              <w:t xml:space="preserve">Note</w:t>
            </w:r>
          </w:p>
        </w:tc>
      </w:tr>
      <w:tr>
        <w:tc>
          <w:tcPr>
            <w:tcW w:type="dxa" w:w="2600"/>
          </w:tcPr>
          <w:p>
            <w:r>
              <w:rPr>
                <w:b w:val="false"/>
                <w:bCs w:val="false"/>
                <w:sz w:val="19"/>
                <w:szCs w:val="19"/>
              </w:rPr>
              <w:t xml:space="preserve">1. Operator warehouse</w:t>
            </w:r>
          </w:p>
        </w:tc>
        <w:tc>
          <w:tcPr>
            <w:tcW w:type="dxa" w:w="2800"/>
          </w:tcPr>
          <w:p>
            <w:r>
              <w:rPr>
                <w:b w:val="false"/>
                <w:bCs w:val="false"/>
                <w:sz w:val="19"/>
                <w:szCs w:val="19"/>
              </w:rPr>
              <w:t xml:space="preserve">Platform provider cloud tenancy</w:t>
            </w:r>
          </w:p>
        </w:tc>
        <w:tc>
          <w:tcPr>
            <w:tcW w:type="dxa" w:w="3960"/>
          </w:tcPr>
          <w:p>
            <w:r>
              <w:rPr>
                <w:b w:val="false"/>
                <w:bCs w:val="false"/>
                <w:sz w:val="19"/>
                <w:szCs w:val="19"/>
              </w:rPr>
              <w:t xml:space="preserve">Source of record for the raw behavioural and event data; two project environments, one per arm.</w:t>
            </w:r>
          </w:p>
        </w:tc>
      </w:tr>
      <w:tr>
        <w:tc>
          <w:tcPr>
            <w:tcW w:type="dxa" w:w="2600"/>
          </w:tcPr>
          <w:p>
            <w:r>
              <w:rPr>
                <w:b w:val="false"/>
                <w:bCs w:val="false"/>
                <w:sz w:val="19"/>
                <w:szCs w:val="19"/>
              </w:rPr>
              <w:t xml:space="preserve">2. Research-controlled cloud storage</w:t>
            </w:r>
          </w:p>
        </w:tc>
        <w:tc>
          <w:tcPr>
            <w:tcW w:type="dxa" w:w="2800"/>
          </w:tcPr>
          <w:p>
            <w:r>
              <w:rPr>
                <w:b w:val="false"/>
                <w:bCs w:val="false"/>
                <w:sz w:val="19"/>
                <w:szCs w:val="19"/>
              </w:rPr>
              <w:t xml:space="preserve">University-controlled storage bucket</w:t>
            </w:r>
          </w:p>
        </w:tc>
        <w:tc>
          <w:tcPr>
            <w:tcW w:type="dxa" w:w="3960"/>
          </w:tcPr>
          <w:p>
            <w:r>
              <w:rPr>
                <w:b w:val="false"/>
                <w:bCs w:val="false"/>
                <w:sz w:val="19"/>
                <w:szCs w:val="19"/>
              </w:rPr>
              <w:t xml:space="preserve">Destination of the server-to-server export; transfer stage only.</w:t>
            </w:r>
          </w:p>
        </w:tc>
      </w:tr>
      <w:tr>
        <w:tc>
          <w:tcPr>
            <w:tcW w:type="dxa" w:w="2600"/>
          </w:tcPr>
          <w:p>
            <w:r>
              <w:rPr>
                <w:b w:val="false"/>
                <w:bCs w:val="false"/>
                <w:sz w:val="19"/>
                <w:szCs w:val="19"/>
              </w:rPr>
              <w:t xml:space="preserve">3. Secure research computing environment</w:t>
            </w:r>
          </w:p>
        </w:tc>
        <w:tc>
          <w:tcPr>
            <w:tcW w:type="dxa" w:w="2800"/>
          </w:tcPr>
          <w:p>
            <w:r>
              <w:rPr>
                <w:b w:val="false"/>
                <w:bCs w:val="false"/>
                <w:sz w:val="19"/>
                <w:szCs w:val="19"/>
              </w:rPr>
              <w:t xml:space="preserve">University research infrastructure (approximately 136 GiB)</w:t>
            </w:r>
          </w:p>
        </w:tc>
        <w:tc>
          <w:tcPr>
            <w:tcW w:type="dxa" w:w="3960"/>
          </w:tcPr>
          <w:p>
            <w:r>
              <w:rPr>
                <w:b w:val="false"/>
                <w:bCs w:val="false"/>
                <w:sz w:val="19"/>
                <w:szCs w:val="19"/>
              </w:rPr>
              <w:t xml:space="preserve">Working analytical environment; access via institutional authentication; data accessed through DuckDB on Parquet.</w:t>
            </w:r>
          </w:p>
        </w:tc>
      </w:tr>
      <w:tr>
        <w:tc>
          <w:tcPr>
            <w:tcW w:type="dxa" w:w="2600"/>
          </w:tcPr>
          <w:p>
            <w:r>
              <w:rPr>
                <w:b w:val="false"/>
                <w:bCs w:val="false"/>
                <w:sz w:val="19"/>
                <w:szCs w:val="19"/>
              </w:rPr>
              <w:t xml:space="preserve">4. Derived event stores and analytical builds</w:t>
            </w:r>
          </w:p>
        </w:tc>
        <w:tc>
          <w:tcPr>
            <w:tcW w:type="dxa" w:w="2800"/>
          </w:tcPr>
          <w:p>
            <w:r>
              <w:rPr>
                <w:b w:val="false"/>
                <w:bCs w:val="false"/>
                <w:sz w:val="19"/>
                <w:szCs w:val="19"/>
              </w:rPr>
              <w:t xml:space="preserve">Study analysis pipelines</w:t>
            </w:r>
          </w:p>
        </w:tc>
        <w:tc>
          <w:tcPr>
            <w:tcW w:type="dxa" w:w="3960"/>
          </w:tcPr>
          <w:p>
            <w:r>
              <w:rPr>
                <w:b w:val="false"/>
                <w:bCs w:val="false"/>
                <w:sz w:val="19"/>
                <w:szCs w:val="19"/>
              </w:rPr>
              <w:t xml:space="preserve">Built by each study's deposited scripts from the raw extraction.</w:t>
            </w:r>
          </w:p>
        </w:tc>
      </w:tr>
      <w:tr>
        <w:tc>
          <w:tcPr>
            <w:tcW w:type="dxa" w:w="2600"/>
          </w:tcPr>
          <w:p>
            <w:r>
              <w:rPr>
                <w:b w:val="false"/>
                <w:bCs w:val="false"/>
                <w:sz w:val="19"/>
                <w:szCs w:val="19"/>
              </w:rPr>
              <w:t xml:space="preserve">5. Locked analytical datasets</w:t>
            </w:r>
          </w:p>
        </w:tc>
        <w:tc>
          <w:tcPr>
            <w:tcW w:type="dxa" w:w="2800"/>
          </w:tcPr>
          <w:p>
            <w:r>
              <w:rPr>
                <w:b w:val="false"/>
                <w:bCs w:val="false"/>
                <w:sz w:val="19"/>
                <w:szCs w:val="19"/>
              </w:rPr>
              <w:t xml:space="preserve">Per study; see Sections 3 to 5</w:t>
            </w:r>
          </w:p>
        </w:tc>
        <w:tc>
          <w:tcPr>
            <w:tcW w:type="dxa" w:w="3960"/>
          </w:tcPr>
          <w:p>
            <w:r>
              <w:rPr>
                <w:b w:val="false"/>
                <w:bCs w:val="false"/>
                <w:sz w:val="19"/>
                <w:szCs w:val="19"/>
              </w:rPr>
              <w:t xml:space="preserve">Each lock recorded in that study's manifest and preregistration.</w:t>
            </w:r>
          </w:p>
        </w:tc>
      </w:tr>
      <w:tr>
        <w:tc>
          <w:tcPr>
            <w:tcW w:type="dxa" w:w="2600"/>
          </w:tcPr>
          <w:p>
            <w:r>
              <w:rPr>
                <w:b w:val="false"/>
                <w:bCs w:val="false"/>
                <w:sz w:val="19"/>
                <w:szCs w:val="19"/>
              </w:rPr>
              <w:t xml:space="preserve">6. Retention and archiving</w:t>
            </w:r>
          </w:p>
        </w:tc>
        <w:tc>
          <w:tcPr>
            <w:tcW w:type="dxa" w:w="2800"/>
          </w:tcPr>
          <w:p>
            <w:r>
              <w:rPr>
                <w:b w:val="false"/>
                <w:bCs w:val="false"/>
                <w:sz w:val="19"/>
                <w:szCs w:val="19"/>
              </w:rPr>
              <w:t xml:space="preserve">Per the Data Management Plan</w:t>
            </w:r>
          </w:p>
        </w:tc>
        <w:tc>
          <w:tcPr>
            <w:tcW w:type="dxa" w:w="3960"/>
          </w:tcPr>
          <w:p>
            <w:r>
              <w:rPr>
                <w:b w:val="false"/>
                <w:bCs w:val="false"/>
                <w:sz w:val="19"/>
                <w:szCs w:val="19"/>
              </w:rPr>
              <w:t xml:space="preserve">Institutional retention on university research infrastructure; for the follow-on research programme, data are migrated to national research data infrastructure for active storage and high-performance computing.</w:t>
            </w:r>
          </w:p>
        </w:tc>
      </w:tr>
    </w:tbl>
    <w:p>
      <w:pPr>
        <w:pStyle w:val="Heading1"/>
        <w:spacing w:after="120" w:before="280"/>
      </w:pPr>
      <w:r>
        <w:t xml:space="preserve">7. Agreements and governance</w:t>
      </w:r>
    </w:p>
    <w:p>
      <w:pPr>
        <w:spacing w:after="160"/>
      </w:pPr>
      <w:r>
        <w:t xml:space="preserve">The operator data were collected and transferred under the collaboration agreement between the research institutions and the operator partners, signed 16 August 2022, together with its amendments and closure documentation; the data-sharing terms are contained within that agreement rather than in a separate instrument. Non-disclosure agreements applied with the platform provider and between the collaborating institutions. The collaboration concluded in January 2026; the agreements continue to govern the use of the data for scientific research. The funder is the International Center for Responsible Gaming (Large Grant 2023); the funder had no role in data collection or handling. Ethics approvals (ETH2122-0810 and amendments ETH2324-0128 and ETH2425-0364; ETH2223-0828 for the Experts by Experience panel) and the Data Management Plan are in common/governance/.</w:t>
      </w:r>
    </w:p>
    <w:p>
      <w:pPr>
        <w:pStyle w:val="Heading1"/>
        <w:spacing w:after="120" w:before="280"/>
      </w:pPr>
      <w:r>
        <w:t xml:space="preserve">8. Availability</w:t>
      </w:r>
    </w:p>
    <w:p>
      <w:pPr>
        <w:spacing w:after="160"/>
      </w:pPr>
      <w:r>
        <w:t xml:space="preserve">Availability is stated per dataset in Sections 3 to 5 and owned by each study's preregistration. Programme-wide: the Data Dictionary and this record are open; the internal rename crosswalk, raw operator extracts and individual event-level data are never released.</w:t>
      </w:r>
    </w:p>
    <w:p>
      <w:pPr>
        <w:spacing w:after="160"/>
      </w:pPr>
      <w:r>
        <w:rPr>
          <w:sz w:val="19"/>
          <w:szCs w:val="19"/>
        </w:rPr>
        <w:t xml:space="preserve">Companion to: the Data Dictionary (common/data-documentation/data_dictionary.xlsx), the Data Management Plan and ethics approvals (common/governance/), and each study repository's protocol/ and code/ folders.</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Times New Roman" w:cs="Times New Roman" w:eastAsia="Times New Roman" w:hAnsi="Times New Roman"/>
      <w:b/>
      <w:bCs/>
      <w:color w:val="000000"/>
      <w:sz w:val="40"/>
      <w:szCs w:val="4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2026-09-10T10:29:19.604Z</dcterms:created>
  <dcterms:modified xsi:type="dcterms:W3CDTF">2026-09-10T10:29:19.604Z</dcterms:modified>
</cp:coreProperties>
</file>

<file path=docProps/custom.xml><?xml version="1.0" encoding="utf-8"?>
<Properties xmlns="http://schemas.openxmlformats.org/officeDocument/2006/custom-properties" xmlns:vt="http://schemas.openxmlformats.org/officeDocument/2006/docPropsVTypes"/>
</file>