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lineRule="auto"/>
        <w:jc w:val="center"/>
      </w:pPr>
      <w:r>
        <w:rPr>
          <w:rFonts w:ascii="Times New Roman" w:cs="Times New Roman" w:eastAsia="Times New Roman" w:hAnsi="Times New Roman"/>
          <w:b/>
          <w:bCs/>
          <w:sz w:val="28"/>
          <w:szCs w:val="28"/>
        </w:rPr>
        <w:t xml:space="preserve">01.3 PRISMA-ScR Reporting Checklist</w:t>
      </w:r>
    </w:p>
    <w:p>
      <w:pPr>
        <w:spacing w:after="120" w:line="240" w:lineRule="auto"/>
        <w:jc w:val="both"/>
      </w:pPr>
      <w:r>
        <w:rPr>
          <w:rFonts w:ascii="Times New Roman" w:cs="Times New Roman" w:eastAsia="Times New Roman" w:hAnsi="Times New Roman"/>
          <w:sz w:val="24"/>
          <w:szCs w:val="24"/>
        </w:rPr>
        <w:t xml:space="preserve">Reporting for the scoping review conducted in Stage 1 of this paper follows the PRISMA-ScR (Tricco et al., 2018) extension for scoping reviews. Each checklist item below is mapped to where it is addressed in the paper. Page numbers below refer to the submitted (author-details) manuscript.</w:t>
      </w:r>
    </w:p>
    <w:p>
      <w:pPr>
        <w:spacing w:after="120" w:line="240" w:lineRule="auto"/>
        <w:jc w:val="both"/>
      </w:pPr>
      <w:r>
        <w:rPr>
          <w:rFonts w:ascii="Times New Roman" w:cs="Times New Roman" w:eastAsia="Times New Roman" w:hAnsi="Times New Roman"/>
          <w:b w:val="false"/>
          <w:bCs w:val="false"/>
          <w:i/>
          <w:iCs/>
          <w:sz w:val="24"/>
          <w:szCs w:val="24"/>
        </w:rPr>
        <w:t>Note. Flow-diagram counts in this checklist are reconciled to the review screening record; page numbers refer to the submitted (author-details) manuscript.</w:t>
      </w:r>
      <w:r>
        <w:rPr>
          <w:rFonts w:ascii="Times New Roman" w:cs="Times New Roman" w:eastAsia="Times New Roman" w:hAnsi="Times New Roman"/>
          <w:b w:val="false"/>
          <w:bCs w:val="false"/>
          <w:i w:val="false"/>
          <w:iCs w:val="false"/>
          <w:sz w:val="24"/>
          <w:szCs w:val="24"/>
        </w:rPr>
      </w:r>
      <w:r>
        <w:rPr>
          <w:rFonts w:ascii="Times New Roman" w:cs="Times New Roman" w:eastAsia="Times New Roman" w:hAnsi="Times New Roman"/>
          <w:b/>
          <w:bCs/>
          <w:i/>
          <w:iCs/>
          <w:color w:val="C00000"/>
          <w:sz w:val="24"/>
          <w:szCs w:val="24"/>
        </w:rPr>
      </w:r>
      <w:r>
        <w:rPr>
          <w:rFonts w:ascii="Times New Roman" w:cs="Times New Roman" w:eastAsia="Times New Roman" w:hAnsi="Times New Roman"/>
          <w:b w:val="false"/>
          <w:bCs w:val="false"/>
          <w:i w:val="false"/>
          <w:iCs w:val="false"/>
          <w:sz w:val="24"/>
          <w:szCs w:val="2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00"/>
        <w:gridCol w:w="2200"/>
        <w:gridCol w:w="5138"/>
        <w:gridCol w:w="800"/>
      </w:tblGrid>
      <w:tr>
        <w:trPr>
          <w:tblHeader/>
        </w:trPr>
        <w:tc>
          <w:tcPr>
            <w:tcW w:type="dxa" w:w="1000"/>
            <w:tcBorders>
              <w:top w:val="single" w:color="000000" w:sz="8"/>
              <w:left w:val="none" w:color="FFFFFF" w:sz="0"/>
              <w:bottom w:val="single" w:color="000000" w:sz="4"/>
              <w:right w:val="none" w:color="FFFFFF" w:sz="0"/>
            </w:tcBorders>
            <w:tcMar>
              <w:top w:type="dxa" w:w="80"/>
              <w:left w:type="dxa" w:w="100"/>
              <w:bottom w:type="dxa" w:w="80"/>
              <w:right w:type="dxa" w:w="100"/>
            </w:tcMar>
            <w:vAlign w:val="center"/>
          </w:tcPr>
          <w:p>
            <w:pPr>
              <w:spacing w:after="0" w:line="240" w:lineRule="auto"/>
              <w:jc w:val="left"/>
            </w:pPr>
            <w:r>
              <w:rPr>
                <w:rFonts w:ascii="Times New Roman" w:cs="Times New Roman" w:eastAsia="Times New Roman" w:hAnsi="Times New Roman"/>
                <w:b/>
                <w:bCs/>
                <w:sz w:val="24"/>
                <w:szCs w:val="24"/>
              </w:rPr>
              <w:t xml:space="preserve">Section</w:t>
            </w:r>
          </w:p>
        </w:tc>
        <w:tc>
          <w:tcPr>
            <w:tcW w:type="dxa" w:w="500"/>
            <w:tcBorders>
              <w:top w:val="single" w:color="000000" w:sz="8"/>
              <w:left w:val="none" w:color="FFFFFF" w:sz="0"/>
              <w:bottom w:val="single" w:color="000000" w:sz="4"/>
              <w:right w:val="none" w:color="FFFFFF" w:sz="0"/>
            </w:tcBorders>
            <w:tcMar>
              <w:top w:type="dxa" w:w="80"/>
              <w:left w:type="dxa" w:w="100"/>
              <w:bottom w:type="dxa" w:w="80"/>
              <w:right w:type="dxa" w:w="100"/>
            </w:tcMar>
            <w:vAlign w:val="center"/>
          </w:tcPr>
          <w:p>
            <w:pPr>
              <w:spacing w:after="0" w:line="240" w:lineRule="auto"/>
              <w:jc w:val="left"/>
            </w:pPr>
            <w:r>
              <w:rPr>
                <w:rFonts w:ascii="Times New Roman" w:cs="Times New Roman" w:eastAsia="Times New Roman" w:hAnsi="Times New Roman"/>
                <w:b/>
                <w:bCs/>
                <w:sz w:val="24"/>
                <w:szCs w:val="24"/>
              </w:rPr>
              <w:t xml:space="preserve">#</w:t>
            </w:r>
          </w:p>
        </w:tc>
        <w:tc>
          <w:tcPr>
            <w:tcW w:type="dxa" w:w="2200"/>
            <w:tcBorders>
              <w:top w:val="single" w:color="000000" w:sz="8"/>
              <w:left w:val="none" w:color="FFFFFF" w:sz="0"/>
              <w:bottom w:val="single" w:color="000000" w:sz="4"/>
              <w:right w:val="none" w:color="FFFFFF" w:sz="0"/>
            </w:tcBorders>
            <w:tcMar>
              <w:top w:type="dxa" w:w="80"/>
              <w:left w:type="dxa" w:w="100"/>
              <w:bottom w:type="dxa" w:w="80"/>
              <w:right w:type="dxa" w:w="100"/>
            </w:tcMar>
            <w:vAlign w:val="center"/>
          </w:tcPr>
          <w:p>
            <w:pPr>
              <w:spacing w:after="0" w:line="240" w:lineRule="auto"/>
              <w:jc w:val="left"/>
            </w:pPr>
            <w:r>
              <w:rPr>
                <w:rFonts w:ascii="Times New Roman" w:cs="Times New Roman" w:eastAsia="Times New Roman" w:hAnsi="Times New Roman"/>
                <w:b/>
                <w:bCs/>
                <w:sz w:val="24"/>
                <w:szCs w:val="24"/>
              </w:rPr>
              <w:t xml:space="preserve">PRISMA-ScR checklist item</w:t>
            </w:r>
          </w:p>
        </w:tc>
        <w:tc>
          <w:tcPr>
            <w:tcW w:type="dxa" w:w="5138"/>
            <w:tcBorders>
              <w:top w:val="single" w:color="000000" w:sz="8"/>
              <w:left w:val="none" w:color="FFFFFF" w:sz="0"/>
              <w:bottom w:val="single" w:color="000000" w:sz="4"/>
              <w:right w:val="none" w:color="FFFFFF" w:sz="0"/>
            </w:tcBorders>
            <w:tcMar>
              <w:top w:type="dxa" w:w="80"/>
              <w:left w:type="dxa" w:w="100"/>
              <w:bottom w:type="dxa" w:w="80"/>
              <w:right w:type="dxa" w:w="100"/>
            </w:tcMar>
            <w:vAlign w:val="center"/>
          </w:tcPr>
          <w:p>
            <w:pPr>
              <w:spacing w:after="0" w:line="240" w:lineRule="auto"/>
              <w:jc w:val="left"/>
            </w:pPr>
            <w:r>
              <w:rPr>
                <w:rFonts w:ascii="Times New Roman" w:cs="Times New Roman" w:eastAsia="Times New Roman" w:hAnsi="Times New Roman"/>
                <w:b/>
                <w:bCs/>
                <w:sz w:val="24"/>
                <w:szCs w:val="24"/>
              </w:rPr>
              <w:t xml:space="preserve">How addressed in this paper</w:t>
            </w:r>
          </w:p>
        </w:tc>
        <w:tc>
          <w:tcPr>
            <w:tcW w:type="dxa" w:w="800"/>
            <w:tcBorders>
              <w:top w:val="single" w:color="000000" w:sz="8"/>
              <w:left w:val="none" w:color="FFFFFF" w:sz="0"/>
              <w:bottom w:val="single" w:color="000000" w:sz="4"/>
              <w:right w:val="none" w:color="FFFFFF" w:sz="0"/>
            </w:tcBorders>
            <w:tcMar>
              <w:top w:type="dxa" w:w="80"/>
              <w:left w:type="dxa" w:w="100"/>
              <w:bottom w:type="dxa" w:w="80"/>
              <w:right w:type="dxa" w:w="100"/>
            </w:tcMar>
            <w:vAlign w:val="center"/>
          </w:tcPr>
          <w:p>
            <w:pPr>
              <w:spacing w:after="0" w:line="240" w:lineRule="auto"/>
              <w:jc w:val="left"/>
            </w:pPr>
            <w:r>
              <w:rPr>
                <w:rFonts w:ascii="Times New Roman" w:cs="Times New Roman" w:eastAsia="Times New Roman" w:hAnsi="Times New Roman"/>
                <w:b/>
                <w:bCs/>
                <w:sz w:val="24"/>
                <w:szCs w:val="24"/>
              </w:rPr>
              <w:t xml:space="preserve">Page</w:t>
            </w:r>
          </w:p>
        </w:tc>
      </w:tr>
      <w:tr>
        <w:tc>
          <w:tcPr>
            <w:tcW w:type="dxa" w:w="9638"/>
            <w:gridSpan w:val="5"/>
            <w:tcBorders>
              <w:top w:val="none" w:color="FFFFFF" w:sz="0"/>
              <w:left w:val="none" w:color="FFFFFF" w:sz="0"/>
              <w:bottom w:val="single" w:color="BBBBBB" w:sz="2"/>
              <w:right w:val="none" w:color="FFFFFF" w:sz="0"/>
            </w:tcBorders>
            <w:tcMar>
              <w:top w:type="dxa" w:w="100"/>
              <w:left w:type="dxa" w:w="100"/>
              <w:bottom w:type="dxa" w:w="60"/>
              <w:right w:type="dxa" w:w="100"/>
            </w:tcMar>
            <w:vAlign w:val="center"/>
          </w:tcPr>
          <w:p>
            <w:pPr>
              <w:spacing w:after="0" w:line="240" w:lineRule="auto"/>
              <w:jc w:val="left"/>
            </w:pPr>
            <w:r>
              <w:rPr>
                <w:rFonts w:ascii="Times New Roman" w:cs="Times New Roman" w:eastAsia="Times New Roman" w:hAnsi="Times New Roman"/>
                <w:b/>
                <w:bCs/>
                <w:i/>
                <w:iCs/>
                <w:sz w:val="22"/>
                <w:szCs w:val="22"/>
              </w:rPr>
              <w:t xml:space="preserve">Title</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Identify the report as a scoping review.</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The Stage 1 work is identified as a scoping review in the abstract (“Stage 1 used a three-round scoping review”) and the Stage 1 Methods heading (“Scoping Review and Evidence Mapping”). The paper’s overall title reflects its translational design scope, of which the scoping review is the first stage.</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1-2</w:t>
            </w:r>
          </w:p>
        </w:tc>
      </w:tr>
      <w:tr>
        <w:tc>
          <w:tcPr>
            <w:tcW w:type="dxa" w:w="9638"/>
            <w:gridSpan w:val="5"/>
            <w:tcBorders>
              <w:top w:val="none" w:color="FFFFFF" w:sz="0"/>
              <w:left w:val="none" w:color="FFFFFF" w:sz="0"/>
              <w:bottom w:val="single" w:color="BBBBBB" w:sz="2"/>
              <w:right w:val="none" w:color="FFFFFF" w:sz="0"/>
            </w:tcBorders>
            <w:tcMar>
              <w:top w:type="dxa" w:w="100"/>
              <w:left w:type="dxa" w:w="100"/>
              <w:bottom w:type="dxa" w:w="60"/>
              <w:right w:type="dxa" w:w="100"/>
            </w:tcMar>
            <w:vAlign w:val="center"/>
          </w:tcPr>
          <w:p>
            <w:pPr>
              <w:spacing w:after="0" w:line="240" w:lineRule="auto"/>
              <w:jc w:val="left"/>
            </w:pPr>
            <w:r>
              <w:rPr>
                <w:rFonts w:ascii="Times New Roman" w:cs="Times New Roman" w:eastAsia="Times New Roman" w:hAnsi="Times New Roman"/>
                <w:b/>
                <w:bCs/>
                <w:i/>
                <w:iCs/>
                <w:sz w:val="22"/>
                <w:szCs w:val="22"/>
              </w:rPr>
              <w:t xml:space="preserve">Abstract</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2</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Provide a structured summary that includes (as applicable): background, objectives, eligibility criteria, sources of evidence, charting methods, results, and conclusions that relate to the review questions and objectives.</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Abstract covers background (fragmentation of RG evidence), objectives (three-stage translational methodology), sources (three databases across three rounds), charting (45-field extraction instrument), results (410 records, 210 framework entries, two implementation architectures), and conclusions (implementation gap as organisational).</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2</w:t>
            </w:r>
          </w:p>
        </w:tc>
      </w:tr>
      <w:tr>
        <w:tc>
          <w:tcPr>
            <w:tcW w:type="dxa" w:w="9638"/>
            <w:gridSpan w:val="5"/>
            <w:tcBorders>
              <w:top w:val="none" w:color="FFFFFF" w:sz="0"/>
              <w:left w:val="none" w:color="FFFFFF" w:sz="0"/>
              <w:bottom w:val="single" w:color="BBBBBB" w:sz="2"/>
              <w:right w:val="none" w:color="FFFFFF" w:sz="0"/>
            </w:tcBorders>
            <w:tcMar>
              <w:top w:type="dxa" w:w="100"/>
              <w:left w:type="dxa" w:w="100"/>
              <w:bottom w:type="dxa" w:w="60"/>
              <w:right w:type="dxa" w:w="100"/>
            </w:tcMar>
            <w:vAlign w:val="center"/>
          </w:tcPr>
          <w:p>
            <w:pPr>
              <w:spacing w:after="0" w:line="240" w:lineRule="auto"/>
              <w:jc w:val="left"/>
            </w:pPr>
            <w:r>
              <w:rPr>
                <w:rFonts w:ascii="Times New Roman" w:cs="Times New Roman" w:eastAsia="Times New Roman" w:hAnsi="Times New Roman"/>
                <w:b/>
                <w:bCs/>
                <w:i/>
                <w:iCs/>
                <w:sz w:val="22"/>
                <w:szCs w:val="22"/>
              </w:rPr>
              <w:t xml:space="preserve">Introduction</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3</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Describe the rationale for the review in the context of what is already known. Explain why the review questions/objectives lend themselves to a scoping review approach.</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Introduction situates the review in the RG evidence base, identifies the translation gap, and justifies a scoping approach over systematic review on the grounds of inconsistent outcome measures and methodological heterogeneity (Ladouceur et al., 2017).</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3</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4</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Provide an explicit statement of the questions and objectives being addressed with reference to their key elements (e.g., population or participants, concepts, and context) or other relevant key elements used to conceptualise the review questions and/or objectives.</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Stated objective: characterise the breadth and structure of the RG evidence base to inform intervention design and evaluation. Context: online gambling platforms in the UK and Netherlands. Concept: responsible gambling tools, policies, and practices. Population: adult players.</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6</w:t>
            </w:r>
          </w:p>
        </w:tc>
      </w:tr>
      <w:tr>
        <w:tc>
          <w:tcPr>
            <w:tcW w:type="dxa" w:w="9638"/>
            <w:gridSpan w:val="5"/>
            <w:tcBorders>
              <w:top w:val="none" w:color="FFFFFF" w:sz="0"/>
              <w:left w:val="none" w:color="FFFFFF" w:sz="0"/>
              <w:bottom w:val="single" w:color="BBBBBB" w:sz="2"/>
              <w:right w:val="none" w:color="FFFFFF" w:sz="0"/>
            </w:tcBorders>
            <w:tcMar>
              <w:top w:type="dxa" w:w="100"/>
              <w:left w:type="dxa" w:w="100"/>
              <w:bottom w:type="dxa" w:w="60"/>
              <w:right w:type="dxa" w:w="100"/>
            </w:tcMar>
            <w:vAlign w:val="center"/>
          </w:tcPr>
          <w:p>
            <w:pPr>
              <w:spacing w:after="0" w:line="240" w:lineRule="auto"/>
              <w:jc w:val="left"/>
            </w:pPr>
            <w:r>
              <w:rPr>
                <w:rFonts w:ascii="Times New Roman" w:cs="Times New Roman" w:eastAsia="Times New Roman" w:hAnsi="Times New Roman"/>
                <w:b/>
                <w:bCs/>
                <w:i/>
                <w:iCs/>
                <w:sz w:val="22"/>
                <w:szCs w:val="22"/>
              </w:rPr>
              <w:t xml:space="preserve">Methods</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5</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Indicate whether a review protocol exists; state if and where it can be accessed (e.g., a Web address); and if available, provide registration information, including the registration number.</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No preregistered protocol. Stage 1 Methods states that preregistration was not conducted because the taxonomy was developed inductively in a field without established organisational frameworks (Miake-Lye et al., 2016). All materials (search strategy, eligibility criteria, extraction codebook) are openly available on OSF.</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8</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6</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Specify characteristics of the sources of evidence used as eligibility criteria (e.g., years considered, language, and publication status), and provide a rationale.</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English-language, peer-reviewed publications 2000–2024, adult populations. Grey literature and conference abstracts excluded (rationale: extractable methodology and results required for tool-level synthesis). Six-level hierarchical exclusion system (publication type, language, topic, context, population, relevance). Full specification in 01.2 Eligibility Criteria.</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8</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7</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Describe all information sources in the search (e.g., databases with dates of coverage and contact with authors to identify additional sources), as well as the date the most recent search was executed.</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Three databases searched cumulatively across three rounds: PsycINFO, MEDLINE, and Web of Science Core Collection. Rounds conducted May–Sep 2021, Oct 2022–Jan 2023, Feb–May 2024. Full search log in 01.1 Search Strategy.</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7</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8</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Present the full electronic search strategy for at least 1 database, including any limits used, such that it could be repeated.</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Search strategy summary in Table 1 of the main paper (per-round adjustments). Full electronic search strategy for all three databases in 01.1 Search Strategy.</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8</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9</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State the process for selecting sources of evidence (i.e., screening and eligibility) included in the scoping review.</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Two-stage screening in Rayyan: title/abstract followed by full-text. First author conducted initial screening with independent cross-checking by a trained research assistant; disagreements resolved by consensus using the eligibility criteria. Predefined coding rules and documented rationales for all classification decisions.</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9</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10</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First author conducted data extraction across all three rounds using the 45-field extraction instrument (documented in OSF folder 02_Extraction_Framework). Instrument refined iteratively across rounds. Classification decisions documented in an extraction log. Interrater reliability not calculated (inductive development; Miake-Lye et al., 2016). Full extraction codebook in OSF folder 02_Extraction_Framework.</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9</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11</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List and define all variables for which data were sought and any assumptions and simplifications made.</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b w:val="false"/>
                <w:bCs w:val="false"/>
                <w:i w:val="false"/>
                <w:iCs w:val="false"/>
                <w:sz w:val="20"/>
                <w:szCs w:val="20"/>
              </w:rPr>
              <w:t>45 fields across 10 blocks, organised by three analytical dimensions (population and risk identification; mechanism and evidence characterisation; deployment and implementation feasibility). Full field definitions and formatting rules (02.1 Field Inventory; 02.2 Extraction Codebook), tool code definitions, domain assignment rules, and bundled-code handling rules (02.3 Tool Codes and Domains), and evidence-direction coding rules and sample-size extraction rules (02.4 Evidence Direction and Sample Size) are available in OSF folder 02_Extraction_Framework.</w:t>
            </w:r>
            <w:r>
              <w:rPr>
                <w:rFonts w:ascii="Times New Roman" w:cs="Times New Roman" w:eastAsia="Times New Roman" w:hAnsi="Times New Roman"/>
                <w:b/>
                <w:bCs/>
                <w:i/>
                <w:iCs/>
                <w:color w:val="C00000"/>
                <w:sz w:val="20"/>
                <w:szCs w:val="20"/>
              </w:rPr>
            </w:r>
            <w:r>
              <w:rPr>
                <w:rFonts w:ascii="Times New Roman" w:cs="Times New Roman" w:eastAsia="Times New Roman" w:hAnsi="Times New Roman"/>
                <w:b w:val="false"/>
                <w:bCs w:val="false"/>
                <w:i w:val="false"/>
                <w:iCs w:val="false"/>
                <w:sz w:val="20"/>
                <w:szCs w:val="20"/>
              </w:rPr>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9</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12</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If done, provide a rationale for conducting a critical appraisal of included sources of evidence; describe the methods used and how this information was used in any data synthesis (if appropriate).</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b w:val="false"/>
                <w:bCs w:val="false"/>
                <w:i w:val="false"/>
                <w:iCs w:val="false"/>
                <w:sz w:val="20"/>
                <w:szCs w:val="20"/>
              </w:rPr>
              <w:t>Evidence quality rated per record on a five-level scale (LOW, LOW-MODERATE, MODERATE, MODERATE-HIGH, HIGH) with criteria covering randomised design, objective behavioural outcomes, sample size, follow-up duration, multi-site or multi-operator replication, validated measures, attrition, and pre-registration. Rating informed tool selection in Stage 3 and evidence status classification in Stage 2. Full rubric in OSF folder 02_Extraction_Framework.</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10</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13</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Describe the methods of handling and summarising the data that were charted.</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Evidence mapping approach rather than quantitative synthesis. Records organised by tool code, domain, study design, evidence quality, implementation readiness, and direction of effect. Descriptive summaries and cross-tabulations used to identify structural patterns across the evidence base. Full taxonomy and synthesis outputs (convergent evidence set of 38 records in OSF folder 03_RG_Taxonomy; framework of 210 entries in OSF folder 04_RG_Intervention_Framework).</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10</w:t>
            </w:r>
          </w:p>
        </w:tc>
      </w:tr>
      <w:tr>
        <w:tc>
          <w:tcPr>
            <w:tcW w:type="dxa" w:w="9638"/>
            <w:gridSpan w:val="5"/>
            <w:tcBorders>
              <w:top w:val="none" w:color="FFFFFF" w:sz="0"/>
              <w:left w:val="none" w:color="FFFFFF" w:sz="0"/>
              <w:bottom w:val="single" w:color="BBBBBB" w:sz="2"/>
              <w:right w:val="none" w:color="FFFFFF" w:sz="0"/>
            </w:tcBorders>
            <w:tcMar>
              <w:top w:type="dxa" w:w="100"/>
              <w:left w:type="dxa" w:w="100"/>
              <w:bottom w:type="dxa" w:w="60"/>
              <w:right w:type="dxa" w:w="100"/>
            </w:tcMar>
            <w:vAlign w:val="center"/>
          </w:tcPr>
          <w:p>
            <w:pPr>
              <w:spacing w:after="0" w:line="240" w:lineRule="auto"/>
              <w:jc w:val="left"/>
            </w:pPr>
            <w:r>
              <w:rPr>
                <w:rFonts w:ascii="Times New Roman" w:cs="Times New Roman" w:eastAsia="Times New Roman" w:hAnsi="Times New Roman"/>
                <w:b/>
                <w:bCs/>
                <w:i/>
                <w:iCs/>
                <w:sz w:val="22"/>
                <w:szCs w:val="22"/>
              </w:rPr>
              <w:t xml:space="preserve">Results</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14</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Give numbers of sources of evidence screened, assessed for eligibility, and included in the review, with reasons for exclusions at each stage, ideally using a flow diagram.</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b w:val="false"/>
                <w:bCs w:val="false"/>
                <w:i w:val="false"/>
                <w:iCs w:val="false"/>
                <w:sz w:val="20"/>
                <w:szCs w:val="20"/>
              </w:rPr>
              <w:t>PRISMA-ScR flow diagram in Figure 2 of the main paper: 1,876 identified → 88 removed before screening → 1,788 screened → 1,340 excluded at title/abstract (exclusion codes reported) → 448 full-text → 198 excluded at full-text → 250 papers / 267 studies / 410 extraction records. Detailed version with full exclusion-reason breakdown in 01.4 Detailed PRISMA Flow Diagram and 01.5 Screening and Exclusion Record.</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11</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15</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For each source of evidence, present characteristics for which data were charted and provide the citations.</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Descriptive characteristics of the included records (publication year, study design, gambling format, platform setting, implementation readiness, sample size by design). Full per-record extraction (all 45 fields per record) in the taxonomy dataset in OSF folder 03_RG_Taxonomy.</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11</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16</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If done, present data on critical appraisal of included sources of evidence (see item 12).</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b w:val="false"/>
                <w:bCs w:val="false"/>
                <w:i w:val="false"/>
                <w:iCs w:val="false"/>
                <w:sz w:val="20"/>
                <w:szCs w:val="20"/>
              </w:rPr>
              <w:t>Evidence quality distribution across the 410 records reported in Stage 1 Results: no HIGH ratings; 14 MODERATE–HIGH (3.4%); 201 MODERATE (49.0%); 185 LOW-MODERATE (45.1%); and 10 LOW (2.4%). MODERATE–HIGH concentrated in educational information and low-risk gambling guidelines. Full per-record ratings in the taxonomy dataset in OSF folder 03_RG_Taxonomy.</w:t>
            </w:r>
            <w:r>
              <w:rPr>
                <w:rFonts w:ascii="Times New Roman" w:cs="Times New Roman" w:eastAsia="Times New Roman" w:hAnsi="Times New Roman"/>
                <w:b/>
                <w:bCs/>
                <w:i/>
                <w:iCs/>
                <w:color w:val="C00000"/>
                <w:sz w:val="20"/>
                <w:szCs w:val="20"/>
              </w:rPr>
            </w:r>
            <w:r>
              <w:rPr>
                <w:rFonts w:ascii="Times New Roman" w:cs="Times New Roman" w:eastAsia="Times New Roman" w:hAnsi="Times New Roman"/>
                <w:b w:val="false"/>
                <w:bCs w:val="false"/>
                <w:i w:val="false"/>
                <w:iCs w:val="false"/>
                <w:sz w:val="20"/>
                <w:szCs w:val="20"/>
              </w:rPr>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12</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17</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For each included source of evidence, present the relevant data that were charted that relate to the review questions and objectives.</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Individual-record data (all 45 extracted fields per record, including main findings, effect sizes, subgroup effects, acceptability, and implementation notes) in the taxonomy dataset in OSF folder 03_RG_Taxonomy. Paper body summarises key patterns rather than per-record results.</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12</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18</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Summarise and/or present the charting results as they relate to the review questions and objectives.</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b w:val="false"/>
                <w:bCs w:val="false"/>
                <w:i w:val="false"/>
                <w:iCs w:val="false"/>
                <w:sz w:val="20"/>
                <w:szCs w:val="20"/>
              </w:rPr>
              <w:t>Stage 1 Results synthesises the taxonomy across descriptive characteristics, evidence concentration patterns, and the convergent evidence set. Stage 2 synthesises the 410 records into 210 framework entries across 15 domains. Stage 3 translates the framework into two implementation architectures.</w:t>
            </w:r>
            <w:r>
              <w:rPr>
                <w:rFonts w:ascii="Times New Roman" w:cs="Times New Roman" w:eastAsia="Times New Roman" w:hAnsi="Times New Roman"/>
                <w:b/>
                <w:bCs/>
                <w:i/>
                <w:iCs/>
                <w:color w:val="C00000"/>
                <w:sz w:val="20"/>
                <w:szCs w:val="20"/>
              </w:rPr>
            </w:r>
            <w:r>
              <w:rPr>
                <w:rFonts w:ascii="Times New Roman" w:cs="Times New Roman" w:eastAsia="Times New Roman" w:hAnsi="Times New Roman"/>
                <w:b w:val="false"/>
                <w:bCs w:val="false"/>
                <w:i w:val="false"/>
                <w:iCs w:val="false"/>
                <w:sz w:val="20"/>
                <w:szCs w:val="20"/>
              </w:rPr>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12</w:t>
            </w:r>
          </w:p>
        </w:tc>
      </w:tr>
      <w:tr>
        <w:tc>
          <w:tcPr>
            <w:tcW w:type="dxa" w:w="9638"/>
            <w:gridSpan w:val="5"/>
            <w:tcBorders>
              <w:top w:val="none" w:color="FFFFFF" w:sz="0"/>
              <w:left w:val="none" w:color="FFFFFF" w:sz="0"/>
              <w:bottom w:val="single" w:color="BBBBBB" w:sz="2"/>
              <w:right w:val="none" w:color="FFFFFF" w:sz="0"/>
            </w:tcBorders>
            <w:tcMar>
              <w:top w:type="dxa" w:w="100"/>
              <w:left w:type="dxa" w:w="100"/>
              <w:bottom w:type="dxa" w:w="60"/>
              <w:right w:type="dxa" w:w="100"/>
            </w:tcMar>
            <w:vAlign w:val="center"/>
          </w:tcPr>
          <w:p>
            <w:pPr>
              <w:spacing w:after="0" w:line="240" w:lineRule="auto"/>
              <w:jc w:val="left"/>
            </w:pPr>
            <w:r>
              <w:rPr>
                <w:rFonts w:ascii="Times New Roman" w:cs="Times New Roman" w:eastAsia="Times New Roman" w:hAnsi="Times New Roman"/>
                <w:b/>
                <w:bCs/>
                <w:i/>
                <w:iCs/>
                <w:sz w:val="22"/>
                <w:szCs w:val="22"/>
              </w:rPr>
              <w:t xml:space="preserve">Discussion</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19</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Summarise the main results (including an overview of concepts, themes, and types of evidence available), link to the review questions and objectives, and consider the relevance to key groups.</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Discussion opens with a summary of the three translational outputs (taxonomy, framework, architectures), identifies the implementation gap as organisational rather than solely evidential, and considers relevance to researchers, regulators, and operators.</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23</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20</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Discuss the limitations of the scoping review process.</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Limitations section addresses: iterative extraction under partially different classification frameworks; no formal interrater reliability; no preregistration; English-language and peer-reviewed restriction; predominance of MODERATE quality; and limited generalisability of implementation architectures developed with two operator partners.</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27</w:t>
            </w:r>
          </w:p>
        </w:tc>
      </w:tr>
      <w:tr>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21</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Provide a general interpretation of the results with respect to the review questions and objectives, as well as potential implications and/or next steps.</w:t>
            </w:r>
          </w:p>
        </w:tc>
        <w:tc>
          <w:tcPr>
            <w:tcW w:type="dxa" w:w="5138"/>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Conclusion positions the outputs as a foundation rather than endpoint, identifies the companion paper’s proof-of-concept evaluation as the next step, and emphasises the continuous-updating design of the framework.</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27</w:t>
            </w:r>
          </w:p>
        </w:tc>
      </w:tr>
      <w:tr>
        <w:tc>
          <w:tcPr>
            <w:tcW w:type="dxa" w:w="9638"/>
            <w:gridSpan w:val="5"/>
            <w:tcBorders>
              <w:top w:val="none" w:color="FFFFFF" w:sz="0"/>
              <w:left w:val="none" w:color="FFFFFF" w:sz="0"/>
              <w:bottom w:val="single" w:color="BBBBBB" w:sz="2"/>
              <w:right w:val="none" w:color="FFFFFF" w:sz="0"/>
            </w:tcBorders>
            <w:tcMar>
              <w:top w:type="dxa" w:w="100"/>
              <w:left w:type="dxa" w:w="100"/>
              <w:bottom w:type="dxa" w:w="60"/>
              <w:right w:type="dxa" w:w="100"/>
            </w:tcMar>
            <w:vAlign w:val="center"/>
          </w:tcPr>
          <w:p>
            <w:pPr>
              <w:spacing w:after="0" w:line="240" w:lineRule="auto"/>
              <w:jc w:val="left"/>
            </w:pPr>
            <w:r>
              <w:rPr>
                <w:rFonts w:ascii="Times New Roman" w:cs="Times New Roman" w:eastAsia="Times New Roman" w:hAnsi="Times New Roman"/>
                <w:b/>
                <w:bCs/>
                <w:i/>
                <w:iCs/>
                <w:sz w:val="22"/>
                <w:szCs w:val="22"/>
              </w:rPr>
              <w:t xml:space="preserve">Funding</w:t>
            </w:r>
          </w:p>
        </w:tc>
      </w:tr>
      <w:tr>
        <w:tc>
          <w:tcPr>
            <w:tcW w:type="dxa" w:w="1000"/>
            <w:tcBorders>
              <w:top w:val="none" w:color="FFFFFF" w:sz="0"/>
              <w:left w:val="none" w:color="FFFFFF" w:sz="0"/>
              <w:bottom w:val="single" w:color="000000" w:sz="8"/>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
            </w:r>
          </w:p>
        </w:tc>
        <w:tc>
          <w:tcPr>
            <w:tcW w:type="dxa" w:w="500"/>
            <w:tcBorders>
              <w:top w:val="none" w:color="FFFFFF" w:sz="0"/>
              <w:left w:val="none" w:color="FFFFFF" w:sz="0"/>
              <w:bottom w:val="single" w:color="000000" w:sz="8"/>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22</w:t>
            </w:r>
          </w:p>
        </w:tc>
        <w:tc>
          <w:tcPr>
            <w:tcW w:type="dxa" w:w="2200"/>
            <w:tcBorders>
              <w:top w:val="none" w:color="FFFFFF" w:sz="0"/>
              <w:left w:val="none" w:color="FFFFFF" w:sz="0"/>
              <w:bottom w:val="single" w:color="000000" w:sz="8"/>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sz w:val="20"/>
                <w:szCs w:val="20"/>
              </w:rPr>
              <w:t xml:space="preserve">Describe sources of funding for the included sources of evidence, as well as sources of funding for the scoping review. Describe the role of the funders of the scoping review.</w:t>
            </w:r>
          </w:p>
        </w:tc>
        <w:tc>
          <w:tcPr>
            <w:tcW w:type="dxa" w:w="5138"/>
            <w:tcBorders>
              <w:top w:val="none" w:color="FFFFFF" w:sz="0"/>
              <w:left w:val="none" w:color="FFFFFF" w:sz="0"/>
              <w:bottom w:val="single" w:color="000000" w:sz="8"/>
              <w:right w:val="none" w:color="FFFFFF" w:sz="0"/>
            </w:tcBorders>
            <w:tcMar>
              <w:top w:type="dxa" w:w="60"/>
              <w:left w:type="dxa" w:w="100"/>
              <w:bottom w:type="dxa" w:w="60"/>
              <w:right w:type="dxa" w:w="100"/>
            </w:tcMar>
            <w:vAlign w:val="top"/>
          </w:tcPr>
          <w:p>
            <w:pPr>
              <w:spacing w:after="0" w:line="240" w:lineRule="auto"/>
              <w:jc w:val="left"/>
            </w:pPr>
            <w:r>
              <w:rPr>
                <w:rFonts w:ascii="Times New Roman" w:cs="Times New Roman" w:eastAsia="Times New Roman" w:hAnsi="Times New Roman"/>
                <w:b w:val="false"/>
                <w:bCs w:val="false"/>
                <w:i w:val="false"/>
                <w:iCs w:val="false"/>
                <w:sz w:val="20"/>
                <w:szCs w:val="20"/>
              </w:rPr>
              <w:t>The scoping review was supported by a Large Grant from the International Center for Responsible Gaming (ICRG, awarded February 2024), with additional internal funding from Erasmus University Rotterdam and the University of Amsterdam and in-kind support from industry collaborators (Playtech and Holland Casino Online). H. R. Galvin is supported by a doctoral fellowship from Erasmus University Rotterdam. The funders and industry collaborators had no role in the design, conduct, analysis, or interpretation of the review. Funding for included primary studies not applicable — this is a scoping review of the published literature.</w:t>
            </w:r>
          </w:p>
        </w:tc>
        <w:tc>
          <w:tcPr>
            <w:tcW w:type="dxa" w:w="800"/>
            <w:tcBorders>
              <w:top w:val="none" w:color="FFFFFF" w:sz="0"/>
              <w:left w:val="none" w:color="FFFFFF" w:sz="0"/>
              <w:bottom w:val="single" w:color="000000" w:sz="8"/>
              <w:right w:val="none" w:color="FFFFFF" w:sz="0"/>
            </w:tcBorders>
            <w:tcMar>
              <w:top w:type="dxa" w:w="60"/>
              <w:left w:type="dxa" w:w="100"/>
              <w:bottom w:type="dxa" w:w="60"/>
              <w:right w:type="dxa" w:w="100"/>
            </w:tcMar>
            <w:vAlign w:val="top"/>
          </w:tcPr>
          <w:p>
            <w:pPr>
              <w:spacing w:after="0" w:line="240" w:lineRule="auto"/>
              <w:jc w:val="center"/>
            </w:pPr>
            <w:r>
              <w:rPr>
                <w:rFonts w:ascii="Times New Roman" w:cs="Times New Roman" w:eastAsia="Times New Roman" w:hAnsi="Times New Roman"/>
                <w:sz w:val="20"/>
                <w:szCs w:val="20"/>
              </w:rPr>
              <w:t xml:space="preserve">28</w:t>
            </w:r>
          </w:p>
        </w:tc>
      </w:tr>
    </w:tbl>
    <w:p>
      <w:pPr>
        <w:spacing w:after="0" w:line="240" w:lineRule="auto"/>
      </w:pPr>
      <w:r>
        <w:rPr>
          <w:rFonts w:ascii="Times New Roman" w:cs="Times New Roman" w:eastAsia="Times New Roman" w:hAnsi="Times New Roman"/>
          <w:sz w:val="24"/>
          <w:szCs w:val="24"/>
        </w:rPr>
        <w:t xml:space="preserve"/>
      </w:r>
    </w:p>
    <w:p>
      <w:pPr>
        <w:spacing w:after="120" w:line="240" w:lineRule="auto"/>
        <w:jc w:val="both"/>
      </w:pPr>
      <w:r>
        <w:rPr>
          <w:rFonts w:ascii="Times New Roman" w:cs="Times New Roman" w:eastAsia="Times New Roman" w:hAnsi="Times New Roman"/>
          <w:b w:val="false"/>
          <w:bCs w:val="false"/>
          <w:i/>
          <w:iCs/>
          <w:sz w:val="24"/>
          <w:szCs w:val="24"/>
        </w:rPr>
        <w:t xml:space="preserve">Source. </w:t>
      </w:r>
      <w:r>
        <w:rPr>
          <w:rFonts w:ascii="Times New Roman" w:cs="Times New Roman" w:eastAsia="Times New Roman" w:hAnsi="Times New Roman"/>
          <w:b w:val="false"/>
          <w:bCs w:val="false"/>
          <w:i w:val="false"/>
          <w:iCs w:val="false"/>
          <w:sz w:val="24"/>
          <w:szCs w:val="24"/>
        </w:rPr>
        <w:t xml:space="preserve">Tricco, A. C., Lillie, E., Zarin, W., O’Brien, K. K., Colquhoun, H., Levac, D., Moher, D., Peters, M. D. J., Horsley, T., Weeks, L., Hempel, S., Akl, E. A., Chang, C., McGowan, J., Stewart, L., Hartling, L., Aldcroft, A., Wilson, M. G., Garritty, C., … Straus, S. E. (2018). PRISMA Extension for Scoping Reviews (PRISMA-ScR): Checklist and explanation. </w:t>
      </w:r>
      <w:r>
        <w:rPr>
          <w:rFonts w:ascii="Times New Roman" w:cs="Times New Roman" w:eastAsia="Times New Roman" w:hAnsi="Times New Roman"/>
          <w:b w:val="false"/>
          <w:bCs w:val="false"/>
          <w:i/>
          <w:iCs/>
          <w:sz w:val="24"/>
          <w:szCs w:val="24"/>
        </w:rPr>
        <w:t xml:space="preserve">Annals of Internal Medicine, 169</w:t>
      </w:r>
      <w:r>
        <w:rPr>
          <w:rFonts w:ascii="Times New Roman" w:cs="Times New Roman" w:eastAsia="Times New Roman" w:hAnsi="Times New Roman"/>
          <w:b w:val="false"/>
          <w:bCs w:val="false"/>
          <w:i w:val="false"/>
          <w:iCs w:val="false"/>
          <w:sz w:val="24"/>
          <w:szCs w:val="24"/>
        </w:rPr>
        <w:t xml:space="preserve">(7), 467–473. https://doi.org/10.7326/M18-0850</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2026-04-24T09:21:22.346Z</dcterms:created>
  <dcterms:modified xsi:type="dcterms:W3CDTF">2026-04-24T09:21:22.347Z</dcterms:modified>
</cp:coreProperties>
</file>

<file path=docProps/custom.xml><?xml version="1.0" encoding="utf-8"?>
<Properties xmlns="http://schemas.openxmlformats.org/officeDocument/2006/custom-properties" xmlns:vt="http://schemas.openxmlformats.org/officeDocument/2006/docPropsVTypes"/>
</file>