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
        <w:jc w:val="center"/>
        <w:rPr/>
      </w:pPr>
      <w:r>
        <w:rPr>
          <w:rFonts w:eastAsia="Times New Roman" w:cs="Times New Roman"/>
          <w:b/>
          <w:bCs/>
          <w:sz w:val="28"/>
          <w:szCs w:val="28"/>
        </w:rPr>
        <w:t>04.2 RG Intervention Framework Codebook</w:t>
      </w:r>
    </w:p>
    <w:p>
      <w:pPr>
        <w:pStyle w:val="Normal"/>
        <w:spacing w:lineRule="auto" w:line="240" w:before="0" w:after="240"/>
        <w:jc w:val="center"/>
        <w:rPr/>
      </w:pPr>
      <w:r>
        <w:rPr>
          <w:rFonts w:eastAsia="Times New Roman" w:cs="Times New Roman"/>
          <w:i/>
          <w:iCs/>
          <w:sz w:val="24"/>
          <w:szCs w:val="24"/>
        </w:rPr>
        <w:t>Field definitions, controlled vocabularies, and decision rules for the A Safe Bet Responsible Gambling Intervention Framework (210 tools)</w:t>
      </w:r>
    </w:p>
    <w:p>
      <w:pPr>
        <w:pStyle w:val="Normal"/>
        <w:spacing w:lineRule="auto" w:line="240" w:before="0" w:after="120"/>
        <w:jc w:val="start"/>
        <w:rPr/>
      </w:pPr>
      <w:r>
        <w:rPr>
          <w:rFonts w:eastAsia="Times New Roman" w:cs="Times New Roman"/>
          <w:b w:val="false"/>
          <w:bCs w:val="false"/>
          <w:i/>
          <w:iCs/>
          <w:sz w:val="24"/>
          <w:szCs w:val="24"/>
        </w:rPr>
        <w:t xml:space="preserve">Companion to: </w:t>
      </w:r>
      <w:r>
        <w:rPr>
          <w:rFonts w:eastAsia="Times New Roman" w:cs="Times New Roman"/>
          <w:b w:val="false"/>
          <w:bCs w:val="false"/>
          <w:i w:val="false"/>
          <w:iCs w:val="false"/>
          <w:sz w:val="24"/>
          <w:szCs w:val="24"/>
        </w:rPr>
        <w:t>04.1 RG Intervention Framework (04_1_RG_Intervention_Framework.xlsx)</w:t>
      </w:r>
    </w:p>
    <w:p>
      <w:pPr>
        <w:pStyle w:val="Normal"/>
        <w:spacing w:lineRule="auto" w:line="240" w:before="280" w:after="120"/>
        <w:jc w:val="start"/>
        <w:rPr/>
      </w:pPr>
      <w:r>
        <w:rPr>
          <w:rFonts w:eastAsia="Times New Roman" w:cs="Times New Roman"/>
          <w:b/>
          <w:bCs/>
          <w:sz w:val="24"/>
          <w:szCs w:val="24"/>
        </w:rPr>
        <w:t>1. Overview</w:t>
      </w:r>
    </w:p>
    <w:p>
      <w:pPr>
        <w:pStyle w:val="Normal"/>
        <w:spacing w:lineRule="auto" w:line="240" w:before="200" w:after="100"/>
        <w:jc w:val="start"/>
        <w:rPr/>
      </w:pPr>
      <w:r>
        <w:rPr>
          <w:rFonts w:eastAsia="Times New Roman" w:cs="Times New Roman"/>
          <w:b/>
          <w:bCs/>
          <w:i/>
          <w:iCs/>
          <w:sz w:val="24"/>
          <w:szCs w:val="24"/>
        </w:rPr>
        <w:t>1.1 Purpose</w:t>
      </w:r>
    </w:p>
    <w:p>
      <w:pPr>
        <w:pStyle w:val="Normal"/>
        <w:spacing w:lineRule="auto" w:line="240" w:before="0" w:after="120"/>
        <w:jc w:val="both"/>
        <w:rPr/>
      </w:pPr>
      <w:r>
        <w:rPr>
          <w:rFonts w:eastAsia="Times New Roman" w:cs="Times New Roman"/>
          <w:sz w:val="24"/>
          <w:szCs w:val="24"/>
        </w:rPr>
        <w:t>The RG Intervention Framework (file 04.1) is the second-stage output of the A Safe Bet review programme. It consolidates the 410 tool records produced in Stage 1 into 210 distinct responsible gambling (RG) tool concepts, each described against a standardised structure of fifteen domains and six categorical dimensions.</w:t>
      </w:r>
    </w:p>
    <w:p>
      <w:pPr>
        <w:pStyle w:val="Normal"/>
        <w:spacing w:lineRule="auto" w:line="240" w:before="0" w:after="120"/>
        <w:jc w:val="both"/>
        <w:rPr/>
      </w:pPr>
      <w:r>
        <w:rPr>
          <w:rFonts w:eastAsia="Times New Roman" w:cs="Times New Roman"/>
          <w:sz w:val="24"/>
          <w:szCs w:val="24"/>
        </w:rPr>
        <w:t>This codebook defines every column in the Framework, the controlled vocabularies used to populate them, and the decision rules applied during coding. It is the reference document for anyone reading, citing, extending, or operationalising the Framework.</w:t>
      </w:r>
    </w:p>
    <w:p>
      <w:pPr>
        <w:pStyle w:val="Normal"/>
        <w:spacing w:lineRule="auto" w:line="240" w:before="200" w:after="100"/>
        <w:jc w:val="start"/>
        <w:rPr/>
      </w:pPr>
      <w:r>
        <w:rPr>
          <w:rFonts w:eastAsia="Times New Roman" w:cs="Times New Roman"/>
          <w:b/>
          <w:bCs/>
          <w:i/>
          <w:iCs/>
          <w:sz w:val="24"/>
          <w:szCs w:val="24"/>
        </w:rPr>
        <w:t>1.2 Relationship to Stage 1</w:t>
      </w:r>
    </w:p>
    <w:p>
      <w:pPr>
        <w:pStyle w:val="Normal"/>
        <w:spacing w:lineRule="auto" w:line="240" w:before="0" w:after="120"/>
        <w:jc w:val="both"/>
        <w:rPr/>
      </w:pPr>
      <w:r>
        <w:rPr>
          <w:rFonts w:eastAsia="Times New Roman" w:cs="Times New Roman"/>
          <w:sz w:val="24"/>
          <w:szCs w:val="24"/>
        </w:rPr>
        <w:t>Stage 1 produced the systematic review’s coded evidence base: 410 tool records extracted across a 45-field codebook, with full search, screening, and quality-rating documentation. Stage 2 takes that evidence base and consolidates it: where multiple studies test functionally identical tools, those records collapse into a single tool entry; where reviewed evidence implies tools that do not yet exist as discrete interventions, those tools are added as theoretically derived or extrapolated.</w:t>
      </w:r>
    </w:p>
    <w:p>
      <w:pPr>
        <w:pStyle w:val="Normal"/>
        <w:spacing w:lineRule="auto" w:line="240" w:before="0" w:after="120"/>
        <w:jc w:val="both"/>
        <w:rPr/>
      </w:pPr>
      <w:r>
        <w:rPr>
          <w:rFonts w:eastAsia="Times New Roman" w:cs="Times New Roman"/>
          <w:sz w:val="24"/>
          <w:szCs w:val="24"/>
        </w:rPr>
        <w:t>This codebook does not duplicate Stage 1 documentation. Where upstream methods are relevant (search strategy, eligibility criteria, extraction codebook, evidence-rating rubric), readers are directed to:</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01.1 Search Strategy</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01.2 Eligibility Criteria</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01.4 PRISMA Flow</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02.2 Extraction Codebook</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02.3 Tool Codes and Domains</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02.5 Evidence Quality and Readiness</w:t>
      </w:r>
    </w:p>
    <w:p>
      <w:pPr>
        <w:pStyle w:val="Normal"/>
        <w:spacing w:lineRule="auto" w:line="240" w:before="200" w:after="100"/>
        <w:jc w:val="start"/>
        <w:rPr/>
      </w:pPr>
      <w:r>
        <w:rPr>
          <w:rFonts w:eastAsia="Times New Roman" w:cs="Times New Roman"/>
          <w:b/>
          <w:bCs/>
          <w:i/>
          <w:iCs/>
          <w:sz w:val="24"/>
          <w:szCs w:val="24"/>
        </w:rPr>
        <w:t>1.3 File structure</w:t>
      </w:r>
    </w:p>
    <w:p>
      <w:pPr>
        <w:pStyle w:val="Normal"/>
        <w:spacing w:lineRule="auto" w:line="240" w:before="0" w:after="120"/>
        <w:jc w:val="both"/>
        <w:rPr/>
      </w:pPr>
      <w:r>
        <w:rPr>
          <w:rFonts w:eastAsia="Times New Roman" w:cs="Times New Roman"/>
          <w:sz w:val="24"/>
          <w:szCs w:val="24"/>
        </w:rPr>
        <w:t>The deposited file is 04_1_RG_Intervention_Framework.xlsx. It contains one row per tool, organised by domain, across three sheets described in Section 2.3.</w:t>
      </w:r>
    </w:p>
    <w:p>
      <w:pPr>
        <w:pStyle w:val="Normal"/>
        <w:spacing w:lineRule="auto" w:line="240" w:before="200" w:after="100"/>
        <w:jc w:val="start"/>
        <w:rPr/>
      </w:pPr>
      <w:r>
        <w:rPr>
          <w:rFonts w:eastAsia="Times New Roman" w:cs="Times New Roman"/>
          <w:b/>
          <w:bCs/>
          <w:i/>
          <w:iCs/>
          <w:sz w:val="24"/>
          <w:szCs w:val="24"/>
        </w:rPr>
        <w:t>1.4 How to read this codebook</w:t>
      </w:r>
    </w:p>
    <w:p>
      <w:pPr>
        <w:pStyle w:val="Normal"/>
        <w:spacing w:lineRule="auto" w:line="240" w:before="0" w:after="120"/>
        <w:jc w:val="both"/>
        <w:rPr/>
      </w:pPr>
      <w:r>
        <w:rPr>
          <w:rFonts w:eastAsia="Times New Roman" w:cs="Times New Roman"/>
          <w:sz w:val="24"/>
          <w:szCs w:val="24"/>
        </w:rPr>
        <w:t>Section 2 describes the Framework’s macro-architecture: the fifteen domains, the tool ID convention, the three sheets in the workbook, and the visual conventions used in the file.</w:t>
      </w:r>
    </w:p>
    <w:p>
      <w:pPr>
        <w:pStyle w:val="Normal"/>
        <w:spacing w:lineRule="auto" w:line="240" w:before="0" w:after="120"/>
        <w:jc w:val="both"/>
        <w:rPr/>
      </w:pPr>
      <w:r>
        <w:rPr>
          <w:rFonts w:eastAsia="Times New Roman" w:cs="Times New Roman"/>
          <w:sz w:val="24"/>
          <w:szCs w:val="24"/>
        </w:rPr>
        <w:t>Section 3 documents each of the thirteen columns. For each column, the codebook gives: purpose, format, controlled vocabulary (where applicable), and the decision rules applied during coding. Decision rules are embedded in the relevant column section rather than in a separate decisions chapter.</w:t>
      </w:r>
    </w:p>
    <w:p>
      <w:pPr>
        <w:pStyle w:val="Normal"/>
        <w:spacing w:lineRule="auto" w:line="240" w:before="0" w:after="120"/>
        <w:jc w:val="both"/>
        <w:rPr/>
      </w:pPr>
      <w:r>
        <w:rPr>
          <w:rFonts w:eastAsia="Times New Roman" w:cs="Times New Roman"/>
          <w:sz w:val="24"/>
          <w:szCs w:val="24"/>
        </w:rPr>
        <w:t>Section 4 documents the six columns of the workbook’s reference sheets (Domain Summary and Tool Code Reference).</w:t>
      </w:r>
    </w:p>
    <w:p>
      <w:pPr>
        <w:pStyle w:val="Normal"/>
        <w:spacing w:lineRule="auto" w:line="240" w:before="0" w:after="120"/>
        <w:jc w:val="both"/>
        <w:rPr/>
      </w:pPr>
      <w:r>
        <w:rPr>
          <w:rFonts w:eastAsia="Times New Roman" w:cs="Times New Roman"/>
          <w:sz w:val="24"/>
          <w:szCs w:val="24"/>
        </w:rPr>
        <w:t>Summary counts in sections 3.12 and 6 are computed from the Framework file (04.1), which is the source of record for every value. The codebook documents structure, vocabularies, and decision rules; quantitative summaries (record counts, distributions, cross-tabulations) appear in the main paper.</w:t>
      </w:r>
    </w:p>
    <w:p>
      <w:pPr>
        <w:pStyle w:val="Normal"/>
        <w:spacing w:lineRule="auto" w:line="240" w:before="280" w:after="120"/>
        <w:jc w:val="start"/>
        <w:rPr/>
      </w:pPr>
      <w:r>
        <w:rPr>
          <w:rFonts w:eastAsia="Times New Roman" w:cs="Times New Roman"/>
          <w:b/>
          <w:bCs/>
          <w:sz w:val="24"/>
          <w:szCs w:val="24"/>
        </w:rPr>
        <w:t>2. Framework architecture</w:t>
      </w:r>
    </w:p>
    <w:p>
      <w:pPr>
        <w:pStyle w:val="Normal"/>
        <w:spacing w:lineRule="auto" w:line="240" w:before="200" w:after="100"/>
        <w:jc w:val="start"/>
        <w:rPr/>
      </w:pPr>
      <w:r>
        <w:rPr>
          <w:rFonts w:eastAsia="Times New Roman" w:cs="Times New Roman"/>
          <w:b/>
          <w:bCs/>
          <w:i/>
          <w:iCs/>
          <w:sz w:val="24"/>
          <w:szCs w:val="24"/>
        </w:rPr>
        <w:t>2.1 Tool ID convention</w:t>
      </w:r>
    </w:p>
    <w:p>
      <w:pPr>
        <w:pStyle w:val="Normal"/>
        <w:spacing w:lineRule="auto" w:line="240" w:before="0" w:after="120"/>
        <w:jc w:val="both"/>
        <w:rPr/>
      </w:pPr>
      <w:r>
        <w:rPr>
          <w:rFonts w:eastAsia="Times New Roman" w:cs="Times New Roman"/>
          <w:sz w:val="24"/>
          <w:szCs w:val="24"/>
        </w:rPr>
        <w:t>Each tool has a unique identifier of the form T### where ### is a zero-padded three-digit integer from 001 to 210. Tool IDs are stable: once assigned, they are never reused or renumbered. New tools added to future versions of the Framework extend the numbering rather than reorganise it.</w:t>
      </w:r>
    </w:p>
    <w:p>
      <w:pPr>
        <w:pStyle w:val="Normal"/>
        <w:spacing w:lineRule="auto" w:line="240" w:before="0" w:after="120"/>
        <w:jc w:val="both"/>
        <w:rPr/>
      </w:pPr>
      <w:r>
        <w:rPr>
          <w:rFonts w:eastAsia="Times New Roman" w:cs="Times New Roman"/>
          <w:sz w:val="24"/>
          <w:szCs w:val="24"/>
        </w:rPr>
        <w:t>The numbering reflects the order in which tools were added during the consolidation work, not their conceptual rank. Tools T001 through T174 represent the consolidated empirical and theoretical evidence base. Tools T175 through T210 were added in a final pass as newly designed tools where Stage 1 structural patterns identified a specific intervention gap (design rationale in the Notes column); most carry Evidence Status = Extrapolated. Two (T200, T207) were later linked to Stage 1 records during the trace audit and now carry Evidence Status = Empirically tested; they keep their place in the domain, which records how they entered the Framework.</w:t>
      </w:r>
    </w:p>
    <w:p>
      <w:pPr>
        <w:pStyle w:val="Normal"/>
        <w:spacing w:lineRule="auto" w:line="240" w:before="200" w:after="100"/>
        <w:jc w:val="start"/>
        <w:rPr/>
      </w:pPr>
      <w:r>
        <w:rPr>
          <w:rFonts w:eastAsia="Times New Roman" w:cs="Times New Roman"/>
          <w:b/>
          <w:bCs/>
          <w:i/>
          <w:iCs/>
          <w:sz w:val="24"/>
          <w:szCs w:val="24"/>
        </w:rPr>
        <w:t>2.2 Domains and section headers</w:t>
      </w:r>
    </w:p>
    <w:p>
      <w:pPr>
        <w:pStyle w:val="Normal"/>
        <w:spacing w:lineRule="auto" w:line="240" w:before="0" w:after="120"/>
        <w:jc w:val="both"/>
        <w:rPr/>
      </w:pPr>
      <w:r>
        <w:rPr>
          <w:rFonts w:eastAsia="Times New Roman" w:cs="Times New Roman"/>
          <w:sz w:val="24"/>
          <w:szCs w:val="24"/>
        </w:rPr>
        <w:t>Tools are grouped into fifteen domains, each occupying a contiguous block of Tool IDs. The file uses coloured section header rows to mark domain boundaries, with each domain assigned a distinct hue. The fifteen domains are:</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Financial Consumption Limits (LIMIT-DEP, LIMIT-LOSS, LIMIT-WIN, LIMIT-BET)</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Time and Session Management (LIMIT-TIME, BREAK-FORCE)</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Exclusion and Account Controls (EXCL-TEMP, EXCL-LONG)</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Messaging and Communications (MSG-STATIC, MSG-POP, MSG-PUSH)</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Personalised Feedback (FEED-TRACK, FEED-NORM, FEED-PERSONAL, FEED-RISK)</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Detection and Monitoring Systems (DETECT)</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Self-Assessment Tools (ASSESS-SELF)</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Education and Information (EDU-INFO, EDU-INTERACT, EDU-VIDEO)</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Proactive Contact (CONTACT-PROACTIVE)</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Therapeutic Interventions (THER-CBT, THER-MI, THER-SELF, THER-COMBO)</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Self-Regulation Strategies (SELF-REG)</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Structural Game Modifications (STRUCT-DISPLAY, STRUCT-OTHER, STRUCT-PAY, STRUCT-STAKE, STRUCT-TEMPO)</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Low-Risk Gambling Guidelines (GUIDE-LRGL)</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Multi-Component Programmes and System Tools (PROGRAM)</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Extrapolated and Novel Tools (mixed categories)</w:t>
      </w:r>
    </w:p>
    <w:p>
      <w:pPr>
        <w:pStyle w:val="Normal"/>
        <w:spacing w:lineRule="auto" w:line="240" w:before="200" w:after="100"/>
        <w:jc w:val="start"/>
        <w:rPr/>
      </w:pPr>
      <w:r>
        <w:rPr>
          <w:rFonts w:eastAsia="Times New Roman" w:cs="Times New Roman"/>
          <w:b/>
          <w:bCs/>
          <w:i/>
          <w:iCs/>
          <w:sz w:val="24"/>
          <w:szCs w:val="24"/>
        </w:rPr>
        <w:t>2.3 Workbook sheets</w:t>
      </w:r>
    </w:p>
    <w:p>
      <w:pPr>
        <w:pStyle w:val="Normal"/>
        <w:spacing w:lineRule="auto" w:line="240" w:before="0" w:after="120"/>
        <w:jc w:val="both"/>
        <w:rPr/>
      </w:pPr>
      <w:r>
        <w:rPr>
          <w:rFonts w:eastAsia="Times New Roman" w:cs="Times New Roman"/>
          <w:sz w:val="24"/>
          <w:szCs w:val="24"/>
        </w:rPr>
        <w:t>The workbook contains three sheets:</w:t>
      </w:r>
    </w:p>
    <w:p>
      <w:pPr>
        <w:pStyle w:val="Normal"/>
        <w:spacing w:lineRule="auto" w:line="240" w:before="0" w:after="120"/>
        <w:jc w:val="both"/>
        <w:rPr/>
      </w:pPr>
      <w:r>
        <w:rPr>
          <w:rFonts w:eastAsia="Times New Roman" w:cs="Times New Roman"/>
          <w:b/>
          <w:bCs/>
          <w:i w:val="false"/>
          <w:iCs w:val="false"/>
          <w:sz w:val="24"/>
          <w:szCs w:val="24"/>
        </w:rPr>
        <w:t xml:space="preserve">RG Intervention Framework. </w:t>
      </w:r>
      <w:r>
        <w:rPr>
          <w:rFonts w:eastAsia="Times New Roman" w:cs="Times New Roman"/>
          <w:b w:val="false"/>
          <w:bCs w:val="false"/>
          <w:i w:val="false"/>
          <w:iCs w:val="false"/>
          <w:sz w:val="24"/>
          <w:szCs w:val="24"/>
        </w:rPr>
        <w:t>The main data sheet containing one row per tool, organised by domain. This is the primary artefact described by Section 3 of this codebook.</w:t>
      </w:r>
    </w:p>
    <w:p>
      <w:pPr>
        <w:pStyle w:val="Normal"/>
        <w:spacing w:lineRule="auto" w:line="240" w:before="0" w:after="120"/>
        <w:jc w:val="both"/>
        <w:rPr/>
      </w:pPr>
      <w:r>
        <w:rPr>
          <w:rFonts w:eastAsia="Times New Roman" w:cs="Times New Roman"/>
          <w:b/>
          <w:bCs/>
          <w:i w:val="false"/>
          <w:iCs w:val="false"/>
          <w:sz w:val="24"/>
          <w:szCs w:val="24"/>
        </w:rPr>
        <w:t xml:space="preserve">Domain Summary. </w:t>
      </w:r>
      <w:r>
        <w:rPr>
          <w:rFonts w:eastAsia="Times New Roman" w:cs="Times New Roman"/>
          <w:b w:val="false"/>
          <w:bCs w:val="false"/>
          <w:i w:val="false"/>
          <w:iCs w:val="false"/>
          <w:sz w:val="24"/>
          <w:szCs w:val="24"/>
        </w:rPr>
        <w:t>Reference sheet listing each domain with its constituent tool codes and a short description. Provides navigation and orientation.</w:t>
      </w:r>
    </w:p>
    <w:p>
      <w:pPr>
        <w:pStyle w:val="Normal"/>
        <w:spacing w:lineRule="auto" w:line="240" w:before="0" w:after="120"/>
        <w:jc w:val="both"/>
        <w:rPr/>
      </w:pPr>
      <w:r>
        <w:rPr>
          <w:rFonts w:eastAsia="Times New Roman" w:cs="Times New Roman"/>
          <w:b/>
          <w:bCs/>
          <w:i w:val="false"/>
          <w:iCs w:val="false"/>
          <w:sz w:val="24"/>
          <w:szCs w:val="24"/>
        </w:rPr>
        <w:t xml:space="preserve">Tool Code Reference. </w:t>
      </w:r>
      <w:r>
        <w:rPr>
          <w:rFonts w:eastAsia="Times New Roman" w:cs="Times New Roman"/>
          <w:b w:val="false"/>
          <w:bCs w:val="false"/>
          <w:i w:val="false"/>
          <w:iCs w:val="false"/>
          <w:sz w:val="24"/>
          <w:szCs w:val="24"/>
        </w:rPr>
        <w:t>Reference sheet listing each tool code with its full name and parent domain. Provides decoding for shorthand codes used in the Framework.</w:t>
      </w:r>
    </w:p>
    <w:p>
      <w:pPr>
        <w:pStyle w:val="Normal"/>
        <w:spacing w:lineRule="auto" w:line="240" w:before="0" w:after="120"/>
        <w:jc w:val="both"/>
        <w:rPr/>
      </w:pPr>
      <w:r>
        <w:rPr>
          <w:rFonts w:eastAsia="Times New Roman" w:cs="Times New Roman"/>
          <w:sz w:val="24"/>
          <w:szCs w:val="24"/>
        </w:rPr>
        <w:t>Counts are not held on the reference sheets. The codebook documents structure only; quantitative summaries appear in the main paper.</w:t>
      </w:r>
    </w:p>
    <w:p>
      <w:pPr>
        <w:pStyle w:val="Normal"/>
        <w:spacing w:lineRule="auto" w:line="240" w:before="200" w:after="100"/>
        <w:jc w:val="start"/>
        <w:rPr/>
      </w:pPr>
      <w:r>
        <w:rPr>
          <w:rFonts w:eastAsia="Times New Roman" w:cs="Times New Roman"/>
          <w:b/>
          <w:bCs/>
          <w:i/>
          <w:iCs/>
          <w:sz w:val="24"/>
          <w:szCs w:val="24"/>
        </w:rPr>
        <w:t>2.4 Visual conventions</w:t>
      </w:r>
    </w:p>
    <w:p>
      <w:pPr>
        <w:pStyle w:val="Normal"/>
        <w:spacing w:lineRule="auto" w:line="240" w:before="0" w:after="120"/>
        <w:jc w:val="both"/>
        <w:rPr/>
      </w:pPr>
      <w:r>
        <w:rPr>
          <w:rFonts w:eastAsia="Times New Roman" w:cs="Times New Roman"/>
          <w:sz w:val="24"/>
          <w:szCs w:val="24"/>
        </w:rPr>
        <w:t>The file uses the following visual conventions for orientation:</w:t>
      </w:r>
    </w:p>
    <w:p>
      <w:pPr>
        <w:pStyle w:val="Normal"/>
        <w:spacing w:lineRule="auto" w:line="240" w:before="0" w:after="120"/>
        <w:jc w:val="both"/>
        <w:rPr/>
      </w:pPr>
      <w:r>
        <w:rPr>
          <w:rFonts w:eastAsia="Times New Roman" w:cs="Times New Roman"/>
          <w:b/>
          <w:bCs/>
          <w:i w:val="false"/>
          <w:iCs w:val="false"/>
          <w:sz w:val="24"/>
          <w:szCs w:val="24"/>
        </w:rPr>
        <w:t xml:space="preserve">Domain section headers. </w:t>
      </w:r>
      <w:r>
        <w:rPr>
          <w:rFonts w:eastAsia="Times New Roman" w:cs="Times New Roman"/>
          <w:b w:val="false"/>
          <w:bCs w:val="false"/>
          <w:i w:val="false"/>
          <w:iCs w:val="false"/>
          <w:sz w:val="24"/>
          <w:szCs w:val="24"/>
        </w:rPr>
        <w:t>Dark coloured rows with white bold text marking the start of each domain block. Each domain is assigned its own hue; the same hue is used (in lighter tints) for the rows below.</w:t>
      </w:r>
    </w:p>
    <w:p>
      <w:pPr>
        <w:pStyle w:val="Normal"/>
        <w:spacing w:lineRule="auto" w:line="240" w:before="0" w:after="120"/>
        <w:jc w:val="both"/>
        <w:rPr/>
      </w:pPr>
      <w:r>
        <w:rPr>
          <w:rFonts w:eastAsia="Times New Roman" w:cs="Times New Roman"/>
          <w:b/>
          <w:bCs/>
          <w:i w:val="false"/>
          <w:iCs w:val="false"/>
          <w:sz w:val="24"/>
          <w:szCs w:val="24"/>
        </w:rPr>
        <w:t xml:space="preserve">Domain-tinted zebra striping. </w:t>
      </w:r>
      <w:r>
        <w:rPr>
          <w:rFonts w:eastAsia="Times New Roman" w:cs="Times New Roman"/>
          <w:b w:val="false"/>
          <w:bCs w:val="false"/>
          <w:i w:val="false"/>
          <w:iCs w:val="false"/>
          <w:sz w:val="24"/>
          <w:szCs w:val="24"/>
        </w:rPr>
        <w:t>Tool rows within each domain alternate between two pale tints of the domain’s hue. This makes the domain boundaries visible while keeping the table readable.</w:t>
      </w:r>
    </w:p>
    <w:p>
      <w:pPr>
        <w:pStyle w:val="Normal"/>
        <w:spacing w:lineRule="auto" w:line="240" w:before="0" w:after="120"/>
        <w:jc w:val="both"/>
        <w:rPr/>
      </w:pPr>
      <w:r>
        <w:rPr>
          <w:rFonts w:eastAsia="Times New Roman" w:cs="Times New Roman"/>
          <w:b/>
          <w:bCs/>
          <w:i w:val="false"/>
          <w:iCs w:val="false"/>
          <w:sz w:val="24"/>
          <w:szCs w:val="24"/>
        </w:rPr>
        <w:t xml:space="preserve">Evidence Status colour coding. </w:t>
      </w:r>
      <w:r>
        <w:rPr>
          <w:rFonts w:eastAsia="Times New Roman" w:cs="Times New Roman"/>
          <w:b w:val="false"/>
          <w:bCs w:val="false"/>
          <w:i w:val="false"/>
          <w:iCs w:val="false"/>
          <w:sz w:val="24"/>
          <w:szCs w:val="24"/>
        </w:rPr>
        <w:t>The Evidence Status cell in each row is filled according to its value: pale green for Empirically tested, pale yellow for Theoretically derived, pale blue for Policy / structural, pale orange for Extrapolated.</w:t>
      </w:r>
    </w:p>
    <w:p>
      <w:pPr>
        <w:pStyle w:val="Normal"/>
        <w:spacing w:lineRule="auto" w:line="240" w:before="0" w:after="120"/>
        <w:jc w:val="both"/>
        <w:rPr/>
      </w:pPr>
      <w:r>
        <w:rPr>
          <w:rFonts w:eastAsia="Times New Roman" w:cs="Times New Roman"/>
          <w:b/>
          <w:bCs/>
          <w:i w:val="false"/>
          <w:iCs w:val="false"/>
          <w:sz w:val="24"/>
          <w:szCs w:val="24"/>
        </w:rPr>
        <w:t xml:space="preserve">Header row. </w:t>
      </w:r>
      <w:r>
        <w:rPr>
          <w:rFonts w:eastAsia="Times New Roman" w:cs="Times New Roman"/>
          <w:b w:val="false"/>
          <w:bCs w:val="false"/>
          <w:i w:val="false"/>
          <w:iCs w:val="false"/>
          <w:sz w:val="24"/>
          <w:szCs w:val="24"/>
        </w:rPr>
        <w:t>The column header row is dark navy with white bold text and is frozen so that headers remain visible during scrolling.</w:t>
      </w:r>
    </w:p>
    <w:p>
      <w:pPr>
        <w:pStyle w:val="Normal"/>
        <w:spacing w:lineRule="auto" w:line="240" w:before="280" w:after="120"/>
        <w:jc w:val="start"/>
        <w:rPr/>
      </w:pPr>
      <w:r>
        <w:rPr>
          <w:rFonts w:eastAsia="Times New Roman" w:cs="Times New Roman"/>
          <w:b/>
          <w:bCs/>
          <w:sz w:val="24"/>
          <w:szCs w:val="24"/>
        </w:rPr>
        <w:t>3. Column definitions and rules</w:t>
      </w:r>
    </w:p>
    <w:p>
      <w:pPr>
        <w:pStyle w:val="Normal"/>
        <w:spacing w:lineRule="auto" w:line="240" w:before="0" w:after="120"/>
        <w:jc w:val="both"/>
        <w:rPr/>
      </w:pPr>
      <w:r>
        <w:rPr>
          <w:rFonts w:eastAsia="Times New Roman" w:cs="Times New Roman"/>
          <w:sz w:val="24"/>
          <w:szCs w:val="24"/>
        </w:rPr>
        <w:t>Each subsection documents one column of the Framework. Columns are presented in the order they appear in the OSF clean file.</w:t>
      </w:r>
    </w:p>
    <w:p>
      <w:pPr>
        <w:pStyle w:val="Normal"/>
        <w:spacing w:lineRule="auto" w:line="240" w:before="200" w:after="100"/>
        <w:jc w:val="start"/>
        <w:rPr/>
      </w:pPr>
      <w:r>
        <w:rPr>
          <w:rFonts w:eastAsia="Times New Roman" w:cs="Times New Roman"/>
          <w:b/>
          <w:bCs/>
          <w:i/>
          <w:iCs/>
          <w:sz w:val="24"/>
          <w:szCs w:val="24"/>
        </w:rPr>
        <w:t>3.1 Tool ID</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Unique stable identifier for each tool.</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T### (e.g., T042). Zero-padded three-digit integer.</w:t>
            </w:r>
          </w:p>
        </w:tc>
      </w:tr>
      <w:tr>
        <w:trPr/>
        <w:tc>
          <w:tcPr>
            <w:tcW w:w="2200" w:type="dxa"/>
            <w:tcBorders/>
          </w:tcPr>
          <w:p>
            <w:pPr>
              <w:pStyle w:val="Normal"/>
              <w:spacing w:lineRule="auto" w:line="240" w:before="0" w:after="0"/>
              <w:jc w:val="start"/>
              <w:rPr/>
            </w:pPr>
            <w:r>
              <w:rPr>
                <w:rFonts w:eastAsia="Times New Roman" w:cs="Times New Roman"/>
                <w:b/>
                <w:bCs/>
                <w:sz w:val="20"/>
                <w:szCs w:val="20"/>
              </w:rPr>
              <w:t>Range</w:t>
            </w:r>
          </w:p>
        </w:tc>
        <w:tc>
          <w:tcPr>
            <w:tcW w:w="7438" w:type="dxa"/>
            <w:tcBorders/>
          </w:tcPr>
          <w:p>
            <w:pPr>
              <w:pStyle w:val="Normal"/>
              <w:spacing w:lineRule="auto" w:line="240" w:before="0" w:after="0"/>
              <w:jc w:val="start"/>
              <w:rPr/>
            </w:pPr>
            <w:r>
              <w:rPr>
                <w:rFonts w:eastAsia="Times New Roman" w:cs="Times New Roman"/>
                <w:sz w:val="20"/>
                <w:szCs w:val="20"/>
              </w:rPr>
              <w:t>T001 through T210.</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IDs are assigned in the order tools were added during consolidation. Once assigned, an ID is never reused or reassigned. New tools in future versions extend the numbering rather than reorganise it.</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3.2 Domain</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the high-level domain to which the tool belongs.</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Free-text domain label (one of the fifteen domains listed in Section 2.2).</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For the fourteen mechanism-defined domains, Domain is determined by the tool’s primary mechanism, not by its evidence status. Because domain follows primary mechanism, a tool’s framework domain can differ from the Stage 1 domain of its tool code; for example, T041 and T042 carry STRUCT-DISPLAY but sit in Time and Session Management because their mechanism is session-time salience. The Extrapolated and Novel Tools domain (the manuscript’s Newly Designed Tools domain) records how a tool entered the Framework rather than a distinct mechanism: it holds every tool generated through Stage 1 synthesis rather than consolidated from Stage 1 records. Tools T200 and T207 were placed there as newly designed tools and were later linked to Stage 1 records on re-audit of the Taxonomy Source column (T200: EXP_2024_Hollingshead_LIMIT-DEP; T207: EXP_2018_Harris_MSG-POP_EMO, EXP_2022_MuttiPacker_MSG-POP_HS, EXP_2022_MuttiPacker_MSG-POP_LS). They therefore carry Evidence Status = Empirically tested while keeping their domain, which reflects their provenance. The domain holds 36 tools, 34 with Evidence Status = Extrapolated.</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3.3 Tool Code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the specific tool code to which the tool belongs. Tool codes are subdivisions of domains.</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Hyphenated uppercase code (e.g., LIMIT-DEP, MSG-POP, EXCL-TEMP).</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Tool codes follow Stage 1’s tool code system as documented in 02.3 Tool Codes and Domains. Where Stage 1 used compound codes (e.g., LIMIT-DEP + LIMIT-LOSS for studies testing multiple limit types simultaneously), the Framework assigns the tool to its single primary code and uses the Taxonomy Source column to record the multi-code provenance.</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3.4 Tool Name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Human-readable name of the tool, sufficient to identify it without consulting the Tool Description.</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Title-case free text. May include a parenthetical qualifier indicating a key parameter (e.g., ‘60 min → 90-second lock’).</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Names are written to be informative at a glance. They include the tool’s mechanism (e.g., ‘Mandatory Session Break’) plus a distinguishing parameter (e.g., ‘60 min continuous play → 90-second lock’) where multiple variants of the same mechanism exist. British spelling is used throughout. Em dashes are not used; en dashes (–) separate qualifiers.</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3.5 Tool Description</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Concise description of the tool’s mechanism and parameters.</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paragraph, 60–100 words. Lead sentence states the tool’s mechanism; subsequent text gives parameters and design context.</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Descriptions are written to support comparison across tools. They focus on what the tool does and how it operates, not on its evidence base or deployment specifics. British spelling. No em dashes. Active voice. Where parameters are key to distinguishing a tool from related variants, those parameters are stated explicitly (e.g., ‘mandatory 24-hour delay’; ‘cap at 1% of monthly income’).</w:t>
            </w:r>
          </w:p>
        </w:tc>
      </w:tr>
    </w:tbl>
    <w:p>
      <w:pPr>
        <w:pStyle w:val="Normal"/>
        <w:spacing w:lineRule="auto" w:line="240" w:before="0" w:after="0"/>
        <w:rPr/>
      </w:pPr>
      <w:r>
        <w:rPr/>
      </w:r>
    </w:p>
    <w:p>
      <w:pPr>
        <w:pStyle w:val="Normal"/>
        <w:spacing w:lineRule="auto" w:line="240" w:before="200" w:after="100"/>
        <w:jc w:val="start"/>
        <w:rPr/>
      </w:pPr>
      <w:r>
        <w:rPr>
          <w:rFonts w:eastAsia="Times New Roman" w:cs="Times New Roman"/>
          <w:b/>
          <w:bCs/>
          <w:i/>
          <w:iCs/>
          <w:sz w:val="24"/>
          <w:szCs w:val="24"/>
        </w:rPr>
        <w:t>3.6 Target Population</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the player population for which the tool is designed.</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Universal | Moderate-risk | Moderate-High-risk | High-risk | Young adults | New accounts | Research/system development</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Coded by convergence of three criteria: (1) the mechanism’s design intent; (2) the friction profile (the degree to which the tool constrains player choice or behaviour); (3) the Tool Target Level of the linked Stage 1 records (the Tool_Target_Tier value of each record listed in Taxonomy Source, which records the population the tool was designed for, not the sample it was evaluated in; see 02.2). Where the three criteria agree, code by their consensus. Where they differ, code by the most restrictive applicable risk tier. Stage 1 LOW values are coded Universal where the mechanism and friction profile do not restrict use to a risk-defined population. Sample severity (the Study_Sample field) plays no part in this coding. For example, T033 (mandatory session break after 20 minutes of continuous play) is designed for all players, imposes the same friction on all players, and both of its linked records carry Tool_Target_Tier LOW, so it is coded Universal even though the studies recruited student samples; T046 (extended time-out, 6 to 12 months) is designed for gamblers with established risk, is highly restrictive, and eight of its nine linked records carry HIGH (the ninth has no human sample), so it is coded High-risk.</w:t>
            </w:r>
          </w:p>
        </w:tc>
      </w:tr>
    </w:tbl>
    <w:p>
      <w:pPr>
        <w:pStyle w:val="Normal"/>
        <w:spacing w:lineRule="auto" w:line="240" w:before="0" w:after="0"/>
        <w:rPr/>
      </w:pPr>
      <w:r>
        <w:rPr/>
      </w:r>
    </w:p>
    <w:p>
      <w:pPr>
        <w:pStyle w:val="Normal"/>
        <w:spacing w:lineRule="auto" w:line="240" w:before="0" w:after="120"/>
        <w:jc w:val="both"/>
        <w:rPr/>
      </w:pPr>
      <w:r>
        <w:rPr>
          <w:rFonts w:eastAsia="Times New Roman" w:cs="Times New Roman"/>
          <w:b w:val="false"/>
          <w:bCs w:val="false"/>
          <w:i/>
          <w:iCs/>
          <w:sz w:val="24"/>
          <w:szCs w:val="24"/>
        </w:rPr>
        <w:t xml:space="preserve">Note. </w:t>
      </w:r>
      <w:r>
        <w:rPr>
          <w:rFonts w:eastAsia="Times New Roman" w:cs="Times New Roman"/>
          <w:b w:val="false"/>
          <w:bCs w:val="false"/>
          <w:i w:val="false"/>
          <w:iCs w:val="false"/>
          <w:sz w:val="24"/>
          <w:szCs w:val="24"/>
        </w:rPr>
        <w:t>The Target Population vocabulary is a Stage 2 elaboration of the Stage 1 record-level Tool_Target_Tier values (ALL, HIGH, MOD, LOW, N/A; see 02.1 Field Inventory and 02.2 Extraction Codebook). ALL maps to Universal, MOD to Moderate-risk and HIGH to High-risk. LOW maps to Universal under the rule above, because a tool designed for low-risk gamblers that does not restrict use to a risk-defined population is available to all. Moderate-High-risk was introduced at Stage 2 for tools targeting the upper-moderate to lower-high-risk boundary, typically operator outreach. Three further categories (Young adults, New accounts, Research/system development) capture targeting concepts that emerge at framework level but were not coded at record level.</w:t>
      </w:r>
    </w:p>
    <w:p>
      <w:pPr>
        <w:pStyle w:val="Normal"/>
        <w:spacing w:lineRule="auto" w:line="240" w:before="160" w:after="100"/>
        <w:jc w:val="start"/>
        <w:rPr/>
      </w:pPr>
      <w:r>
        <w:rPr>
          <w:rFonts w:eastAsia="Times New Roman" w:cs="Times New Roman"/>
          <w:b/>
          <w:bCs/>
          <w:i/>
          <w:iCs/>
          <w:sz w:val="24"/>
          <w:szCs w:val="24"/>
        </w:rPr>
        <w:t>Value definitions</w:t>
      </w:r>
    </w:p>
    <w:p>
      <w:pPr>
        <w:pStyle w:val="Normal"/>
        <w:spacing w:lineRule="auto" w:line="240" w:before="0" w:after="120"/>
        <w:jc w:val="both"/>
        <w:rPr/>
      </w:pPr>
      <w:r>
        <w:rPr>
          <w:rFonts w:eastAsia="Times New Roman" w:cs="Times New Roman"/>
          <w:b/>
          <w:bCs/>
          <w:sz w:val="24"/>
          <w:szCs w:val="24"/>
        </w:rPr>
        <w:t xml:space="preserve">Universal. </w:t>
      </w:r>
      <w:r>
        <w:rPr>
          <w:rFonts w:eastAsia="Times New Roman" w:cs="Times New Roman"/>
          <w:sz w:val="24"/>
          <w:szCs w:val="24"/>
        </w:rPr>
        <w:t>Designed for all players regardless of risk profile. Most voluntary RG tools fall here.</w:t>
      </w:r>
    </w:p>
    <w:p>
      <w:pPr>
        <w:pStyle w:val="Normal"/>
        <w:spacing w:lineRule="auto" w:line="240" w:before="0" w:after="120"/>
        <w:jc w:val="both"/>
        <w:rPr/>
      </w:pPr>
      <w:r>
        <w:rPr>
          <w:rFonts w:eastAsia="Times New Roman" w:cs="Times New Roman"/>
          <w:b/>
          <w:bCs/>
          <w:sz w:val="24"/>
          <w:szCs w:val="24"/>
        </w:rPr>
        <w:t xml:space="preserve">Moderate-risk. </w:t>
      </w:r>
      <w:r>
        <w:rPr>
          <w:rFonts w:eastAsia="Times New Roman" w:cs="Times New Roman"/>
          <w:sz w:val="24"/>
          <w:szCs w:val="24"/>
        </w:rPr>
        <w:t>Targeted at players showing emerging risk markers but not yet meeting high-risk thresholds.</w:t>
      </w:r>
    </w:p>
    <w:p>
      <w:pPr>
        <w:pStyle w:val="Normal"/>
        <w:spacing w:lineRule="auto" w:line="240" w:before="0" w:after="120"/>
        <w:jc w:val="both"/>
        <w:rPr/>
      </w:pPr>
      <w:r>
        <w:rPr>
          <w:rFonts w:eastAsia="Times New Roman" w:cs="Times New Roman"/>
          <w:b/>
          <w:bCs/>
          <w:sz w:val="24"/>
          <w:szCs w:val="24"/>
        </w:rPr>
        <w:t xml:space="preserve">Moderate-High-risk. </w:t>
      </w:r>
      <w:r>
        <w:rPr>
          <w:rFonts w:eastAsia="Times New Roman" w:cs="Times New Roman"/>
          <w:sz w:val="24"/>
          <w:szCs w:val="24"/>
        </w:rPr>
        <w:t>Targeted at players in the upper moderate or lower high-risk tiers; typical recipients of operator outreach interventions.</w:t>
      </w:r>
    </w:p>
    <w:p>
      <w:pPr>
        <w:pStyle w:val="Normal"/>
        <w:spacing w:lineRule="auto" w:line="240" w:before="0" w:after="120"/>
        <w:jc w:val="both"/>
        <w:rPr/>
      </w:pPr>
      <w:r>
        <w:rPr>
          <w:rFonts w:eastAsia="Times New Roman" w:cs="Times New Roman"/>
          <w:b/>
          <w:bCs/>
          <w:sz w:val="24"/>
          <w:szCs w:val="24"/>
        </w:rPr>
        <w:t xml:space="preserve">High-risk. </w:t>
      </w:r>
      <w:r>
        <w:rPr>
          <w:rFonts w:eastAsia="Times New Roman" w:cs="Times New Roman"/>
          <w:sz w:val="24"/>
          <w:szCs w:val="24"/>
        </w:rPr>
        <w:t>Designed for players showing established risk indicators or in active treatment.</w:t>
      </w:r>
    </w:p>
    <w:p>
      <w:pPr>
        <w:pStyle w:val="Normal"/>
        <w:spacing w:lineRule="auto" w:line="240" w:before="0" w:after="120"/>
        <w:jc w:val="both"/>
        <w:rPr/>
      </w:pPr>
      <w:r>
        <w:rPr>
          <w:rFonts w:eastAsia="Times New Roman" w:cs="Times New Roman"/>
          <w:b/>
          <w:bCs/>
          <w:sz w:val="24"/>
          <w:szCs w:val="24"/>
        </w:rPr>
        <w:t xml:space="preserve">Young adults. </w:t>
      </w:r>
      <w:r>
        <w:rPr>
          <w:rFonts w:eastAsia="Times New Roman" w:cs="Times New Roman"/>
          <w:sz w:val="24"/>
          <w:szCs w:val="24"/>
        </w:rPr>
        <w:t>Specifically targeted at the 18–25 age band, where lower-risk thresholds and elevated vulnerability are well-established.</w:t>
      </w:r>
    </w:p>
    <w:p>
      <w:pPr>
        <w:pStyle w:val="Normal"/>
        <w:spacing w:lineRule="auto" w:line="240" w:before="0" w:after="120"/>
        <w:jc w:val="both"/>
        <w:rPr/>
      </w:pPr>
      <w:r>
        <w:rPr>
          <w:rFonts w:eastAsia="Times New Roman" w:cs="Times New Roman"/>
          <w:b/>
          <w:bCs/>
          <w:sz w:val="24"/>
          <w:szCs w:val="24"/>
        </w:rPr>
        <w:t xml:space="preserve">New accounts. </w:t>
      </w:r>
      <w:r>
        <w:rPr>
          <w:rFonts w:eastAsia="Times New Roman" w:cs="Times New Roman"/>
          <w:sz w:val="24"/>
          <w:szCs w:val="24"/>
        </w:rPr>
        <w:t>Designed for the registration window or first weeks of play, where behavioural data is limited but risk-marker emergence is rapid.</w:t>
      </w:r>
    </w:p>
    <w:p>
      <w:pPr>
        <w:pStyle w:val="Normal"/>
        <w:spacing w:lineRule="auto" w:line="240" w:before="0" w:after="120"/>
        <w:jc w:val="both"/>
        <w:rPr/>
      </w:pPr>
      <w:r>
        <w:rPr>
          <w:rFonts w:eastAsia="Times New Roman" w:cs="Times New Roman"/>
          <w:b/>
          <w:bCs/>
          <w:sz w:val="24"/>
          <w:szCs w:val="24"/>
        </w:rPr>
        <w:t xml:space="preserve">Research/system development. </w:t>
      </w:r>
      <w:r>
        <w:rPr>
          <w:rFonts w:eastAsia="Times New Roman" w:cs="Times New Roman"/>
          <w:sz w:val="24"/>
          <w:szCs w:val="24"/>
        </w:rPr>
        <w:t>Tested or developed in a research or system-development context without a clear deployment population. Reserved for clearly methodological tools (e.g., decision-support paradigms tested only in laboratory conditions).</w:t>
      </w:r>
    </w:p>
    <w:p>
      <w:pPr>
        <w:pStyle w:val="Normal"/>
        <w:spacing w:lineRule="auto" w:line="240" w:before="200" w:after="100"/>
        <w:jc w:val="start"/>
        <w:rPr/>
      </w:pPr>
      <w:r>
        <w:rPr>
          <w:rFonts w:eastAsia="Times New Roman" w:cs="Times New Roman"/>
          <w:b/>
          <w:bCs/>
          <w:i/>
          <w:iCs/>
          <w:sz w:val="24"/>
          <w:szCs w:val="24"/>
        </w:rPr>
        <w:t>3.7 Delivery Context</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the channel and delivery surface through which the tool reaches the player.</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Compound: ‘Channel | X; Delivery | Y’ (e.g., ‘Channel | Online; Delivery | In-product’).</w:t>
            </w:r>
          </w:p>
        </w:tc>
      </w:tr>
      <w:tr>
        <w:trPr/>
        <w:tc>
          <w:tcPr>
            <w:tcW w:w="2200" w:type="dxa"/>
            <w:tcBorders/>
          </w:tcPr>
          <w:p>
            <w:pPr>
              <w:pStyle w:val="Normal"/>
              <w:spacing w:lineRule="auto" w:line="240" w:before="0" w:after="0"/>
              <w:jc w:val="start"/>
              <w:rPr/>
            </w:pPr>
            <w:r>
              <w:rPr>
                <w:rFonts w:eastAsia="Times New Roman" w:cs="Times New Roman"/>
                <w:b/>
                <w:bCs/>
                <w:sz w:val="20"/>
                <w:szCs w:val="20"/>
              </w:rPr>
              <w:t>Channel vocabulary</w:t>
            </w:r>
          </w:p>
        </w:tc>
        <w:tc>
          <w:tcPr>
            <w:tcW w:w="7438" w:type="dxa"/>
            <w:tcBorders/>
          </w:tcPr>
          <w:p>
            <w:pPr>
              <w:pStyle w:val="Normal"/>
              <w:spacing w:lineRule="auto" w:line="240" w:before="0" w:after="0"/>
              <w:jc w:val="start"/>
              <w:rPr/>
            </w:pPr>
            <w:r>
              <w:rPr>
                <w:rFonts w:eastAsia="Times New Roman" w:cs="Times New Roman"/>
                <w:sz w:val="20"/>
                <w:szCs w:val="20"/>
              </w:rPr>
              <w:t>Online | Land-based | Cross-channel | Not channel-specific</w:t>
            </w:r>
          </w:p>
        </w:tc>
      </w:tr>
      <w:tr>
        <w:trPr/>
        <w:tc>
          <w:tcPr>
            <w:tcW w:w="2200" w:type="dxa"/>
            <w:tcBorders/>
          </w:tcPr>
          <w:p>
            <w:pPr>
              <w:pStyle w:val="Normal"/>
              <w:spacing w:lineRule="auto" w:line="240" w:before="0" w:after="0"/>
              <w:jc w:val="start"/>
              <w:rPr/>
            </w:pPr>
            <w:r>
              <w:rPr>
                <w:rFonts w:eastAsia="Times New Roman" w:cs="Times New Roman"/>
                <w:b/>
                <w:bCs/>
                <w:sz w:val="20"/>
                <w:szCs w:val="20"/>
              </w:rPr>
              <w:t>Delivery vocabulary</w:t>
            </w:r>
          </w:p>
        </w:tc>
        <w:tc>
          <w:tcPr>
            <w:tcW w:w="7438" w:type="dxa"/>
            <w:tcBorders/>
          </w:tcPr>
          <w:p>
            <w:pPr>
              <w:pStyle w:val="Normal"/>
              <w:spacing w:lineRule="auto" w:line="240" w:before="0" w:after="0"/>
              <w:jc w:val="start"/>
              <w:rPr/>
            </w:pPr>
            <w:r>
              <w:rPr>
                <w:rFonts w:eastAsia="Times New Roman" w:cs="Times New Roman"/>
                <w:sz w:val="20"/>
                <w:szCs w:val="20"/>
              </w:rPr>
              <w:t>In-product | Clinical | Community | Laboratory | Player-applied</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Channel describes the gambling environment (online platform, land-based venue, cross-channel system, or channel-agnostic). Delivery describes the surface on which the tool is presented (within the product itself, in clinical settings, in community/educational settings, in laboratory paradigms, or applied by the player without operator infrastructure). Tools may be coded as ‘Cross-channel’ where the same mechanism is documented across both online and land-based contexts in the underlying evidence.</w:t>
            </w:r>
          </w:p>
        </w:tc>
      </w:tr>
    </w:tbl>
    <w:p>
      <w:pPr>
        <w:pStyle w:val="Normal"/>
        <w:spacing w:lineRule="auto" w:line="240" w:before="0" w:after="0"/>
        <w:rPr/>
      </w:pPr>
      <w:r>
        <w:rPr/>
      </w:r>
    </w:p>
    <w:p>
      <w:pPr>
        <w:pStyle w:val="Normal"/>
        <w:spacing w:lineRule="auto" w:line="240" w:before="160" w:after="100"/>
        <w:jc w:val="start"/>
        <w:rPr/>
      </w:pPr>
      <w:r>
        <w:rPr>
          <w:rFonts w:eastAsia="Times New Roman" w:cs="Times New Roman"/>
          <w:b/>
          <w:bCs/>
          <w:i/>
          <w:iCs/>
          <w:sz w:val="24"/>
          <w:szCs w:val="24"/>
        </w:rPr>
        <w:t>Channel value definitions</w:t>
      </w:r>
    </w:p>
    <w:p>
      <w:pPr>
        <w:pStyle w:val="Normal"/>
        <w:spacing w:lineRule="auto" w:line="240" w:before="0" w:after="120"/>
        <w:jc w:val="both"/>
        <w:rPr/>
      </w:pPr>
      <w:r>
        <w:rPr>
          <w:rFonts w:eastAsia="Times New Roman" w:cs="Times New Roman"/>
          <w:b/>
          <w:bCs/>
          <w:sz w:val="24"/>
          <w:szCs w:val="24"/>
        </w:rPr>
        <w:t xml:space="preserve">Online. </w:t>
      </w:r>
      <w:r>
        <w:rPr>
          <w:rFonts w:eastAsia="Times New Roman" w:cs="Times New Roman"/>
          <w:sz w:val="24"/>
          <w:szCs w:val="24"/>
        </w:rPr>
        <w:t>Delivered through an online gambling platform (website or app).</w:t>
      </w:r>
    </w:p>
    <w:p>
      <w:pPr>
        <w:pStyle w:val="Normal"/>
        <w:spacing w:lineRule="auto" w:line="240" w:before="0" w:after="120"/>
        <w:jc w:val="both"/>
        <w:rPr/>
      </w:pPr>
      <w:r>
        <w:rPr>
          <w:rFonts w:eastAsia="Times New Roman" w:cs="Times New Roman"/>
          <w:b/>
          <w:bCs/>
          <w:sz w:val="24"/>
          <w:szCs w:val="24"/>
        </w:rPr>
        <w:t xml:space="preserve">Land-based. </w:t>
      </w:r>
      <w:r>
        <w:rPr>
          <w:rFonts w:eastAsia="Times New Roman" w:cs="Times New Roman"/>
          <w:sz w:val="24"/>
          <w:szCs w:val="24"/>
        </w:rPr>
        <w:t>Delivered in a physical venue (casino, club, betting shop, EGM venue).</w:t>
      </w:r>
    </w:p>
    <w:p>
      <w:pPr>
        <w:pStyle w:val="Normal"/>
        <w:spacing w:lineRule="auto" w:line="240" w:before="0" w:after="120"/>
        <w:jc w:val="both"/>
        <w:rPr/>
      </w:pPr>
      <w:r>
        <w:rPr>
          <w:rFonts w:eastAsia="Times New Roman" w:cs="Times New Roman"/>
          <w:b/>
          <w:bCs/>
          <w:sz w:val="24"/>
          <w:szCs w:val="24"/>
        </w:rPr>
        <w:t xml:space="preserve">Cross-channel. </w:t>
      </w:r>
      <w:r>
        <w:rPr>
          <w:rFonts w:eastAsia="Times New Roman" w:cs="Times New Roman"/>
          <w:sz w:val="24"/>
          <w:szCs w:val="24"/>
        </w:rPr>
        <w:t>Operates across both online and land-based contexts; typically implies a national-registry or cross-platform mechanism.</w:t>
      </w:r>
    </w:p>
    <w:p>
      <w:pPr>
        <w:pStyle w:val="Normal"/>
        <w:spacing w:lineRule="auto" w:line="240" w:before="0" w:after="120"/>
        <w:jc w:val="both"/>
        <w:rPr/>
      </w:pPr>
      <w:r>
        <w:rPr>
          <w:rFonts w:eastAsia="Times New Roman" w:cs="Times New Roman"/>
          <w:b/>
          <w:bCs/>
          <w:sz w:val="24"/>
          <w:szCs w:val="24"/>
        </w:rPr>
        <w:t xml:space="preserve">Not channel-specific. </w:t>
      </w:r>
      <w:r>
        <w:rPr>
          <w:rFonts w:eastAsia="Times New Roman" w:cs="Times New Roman"/>
          <w:sz w:val="24"/>
          <w:szCs w:val="24"/>
        </w:rPr>
        <w:t>Channel-agnostic by design (e.g., self-regulation strategies the player applies regardless of context).</w:t>
      </w:r>
    </w:p>
    <w:p>
      <w:pPr>
        <w:pStyle w:val="Normal"/>
        <w:spacing w:lineRule="auto" w:line="240" w:before="160" w:after="100"/>
        <w:jc w:val="start"/>
        <w:rPr/>
      </w:pPr>
      <w:r>
        <w:rPr>
          <w:rFonts w:eastAsia="Times New Roman" w:cs="Times New Roman"/>
          <w:b/>
          <w:bCs/>
          <w:i/>
          <w:iCs/>
          <w:sz w:val="24"/>
          <w:szCs w:val="24"/>
        </w:rPr>
        <w:t>Delivery value definitions</w:t>
      </w:r>
    </w:p>
    <w:p>
      <w:pPr>
        <w:pStyle w:val="Normal"/>
        <w:spacing w:lineRule="auto" w:line="240" w:before="0" w:after="120"/>
        <w:jc w:val="both"/>
        <w:rPr/>
      </w:pPr>
      <w:r>
        <w:rPr>
          <w:rFonts w:eastAsia="Times New Roman" w:cs="Times New Roman"/>
          <w:b/>
          <w:bCs/>
          <w:sz w:val="24"/>
          <w:szCs w:val="24"/>
        </w:rPr>
        <w:t xml:space="preserve">In-product. </w:t>
      </w:r>
      <w:r>
        <w:rPr>
          <w:rFonts w:eastAsia="Times New Roman" w:cs="Times New Roman"/>
          <w:sz w:val="24"/>
          <w:szCs w:val="24"/>
        </w:rPr>
        <w:t>Delivered within the gambling product or platform itself; the player encounters the tool while gambling or accessing their account.</w:t>
      </w:r>
    </w:p>
    <w:p>
      <w:pPr>
        <w:pStyle w:val="Normal"/>
        <w:spacing w:lineRule="auto" w:line="240" w:before="0" w:after="120"/>
        <w:jc w:val="both"/>
        <w:rPr/>
      </w:pPr>
      <w:r>
        <w:rPr>
          <w:rFonts w:eastAsia="Times New Roman" w:cs="Times New Roman"/>
          <w:b/>
          <w:bCs/>
          <w:sz w:val="24"/>
          <w:szCs w:val="24"/>
        </w:rPr>
        <w:t xml:space="preserve">Clinical. </w:t>
      </w:r>
      <w:r>
        <w:rPr>
          <w:rFonts w:eastAsia="Times New Roman" w:cs="Times New Roman"/>
          <w:sz w:val="24"/>
          <w:szCs w:val="24"/>
        </w:rPr>
        <w:t>Delivered through a clinical or treatment context (face-to-face, telephone, or telehealth therapy; structured counselling).</w:t>
      </w:r>
    </w:p>
    <w:p>
      <w:pPr>
        <w:pStyle w:val="Normal"/>
        <w:spacing w:lineRule="auto" w:line="240" w:before="0" w:after="120"/>
        <w:jc w:val="both"/>
        <w:rPr/>
      </w:pPr>
      <w:r>
        <w:rPr>
          <w:rFonts w:eastAsia="Times New Roman" w:cs="Times New Roman"/>
          <w:b/>
          <w:bCs/>
          <w:sz w:val="24"/>
          <w:szCs w:val="24"/>
        </w:rPr>
        <w:t xml:space="preserve">Community. </w:t>
      </w:r>
      <w:r>
        <w:rPr>
          <w:rFonts w:eastAsia="Times New Roman" w:cs="Times New Roman"/>
          <w:sz w:val="24"/>
          <w:szCs w:val="24"/>
        </w:rPr>
        <w:t>Delivered through community-facing channels (public messaging campaigns, educational materials, brochures, helplines accessed at point of need).</w:t>
      </w:r>
    </w:p>
    <w:p>
      <w:pPr>
        <w:pStyle w:val="Normal"/>
        <w:spacing w:lineRule="auto" w:line="240" w:before="0" w:after="120"/>
        <w:jc w:val="both"/>
        <w:rPr/>
      </w:pPr>
      <w:r>
        <w:rPr>
          <w:rFonts w:eastAsia="Times New Roman" w:cs="Times New Roman"/>
          <w:b/>
          <w:bCs/>
          <w:sz w:val="24"/>
          <w:szCs w:val="24"/>
        </w:rPr>
        <w:t xml:space="preserve">Laboratory. </w:t>
      </w:r>
      <w:r>
        <w:rPr>
          <w:rFonts w:eastAsia="Times New Roman" w:cs="Times New Roman"/>
          <w:sz w:val="24"/>
          <w:szCs w:val="24"/>
        </w:rPr>
        <w:t>Delivered in research-environment paradigms (computerised tasks; experimental simulations not available outside the study).</w:t>
      </w:r>
    </w:p>
    <w:p>
      <w:pPr>
        <w:pStyle w:val="Normal"/>
        <w:spacing w:lineRule="auto" w:line="240" w:before="0" w:after="120"/>
        <w:jc w:val="both"/>
        <w:rPr/>
      </w:pPr>
      <w:r>
        <w:rPr>
          <w:rFonts w:eastAsia="Times New Roman" w:cs="Times New Roman"/>
          <w:b/>
          <w:bCs/>
          <w:sz w:val="24"/>
          <w:szCs w:val="24"/>
        </w:rPr>
        <w:t xml:space="preserve">Player-applied. </w:t>
      </w:r>
      <w:r>
        <w:rPr>
          <w:rFonts w:eastAsia="Times New Roman" w:cs="Times New Roman"/>
          <w:sz w:val="24"/>
          <w:szCs w:val="24"/>
        </w:rPr>
        <w:t>The player implements the tool themselves without operator or clinician infrastructure (cognitive commitments, household-level cash management strategies).</w:t>
      </w:r>
    </w:p>
    <w:p>
      <w:pPr>
        <w:pStyle w:val="Normal"/>
        <w:spacing w:lineRule="auto" w:line="240" w:before="200" w:after="100"/>
        <w:jc w:val="start"/>
        <w:rPr/>
      </w:pPr>
      <w:r>
        <w:rPr>
          <w:rFonts w:eastAsia="Times New Roman" w:cs="Times New Roman"/>
          <w:b/>
          <w:bCs/>
          <w:i/>
          <w:iCs/>
          <w:sz w:val="24"/>
          <w:szCs w:val="24"/>
        </w:rPr>
        <w:t>3.8 Governance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how the tool’s adoption and operation are governed: who initiates use, and whether use can be reversed.</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Compound: ‘Control | X; Reversibility | 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 vocabulary</w:t>
            </w:r>
          </w:p>
        </w:tc>
        <w:tc>
          <w:tcPr>
            <w:tcW w:w="7438" w:type="dxa"/>
            <w:tcBorders/>
          </w:tcPr>
          <w:p>
            <w:pPr>
              <w:pStyle w:val="Normal"/>
              <w:spacing w:lineRule="auto" w:line="240" w:before="0" w:after="0"/>
              <w:jc w:val="start"/>
              <w:rPr/>
            </w:pPr>
            <w:r>
              <w:rPr>
                <w:rFonts w:eastAsia="Times New Roman" w:cs="Times New Roman"/>
                <w:sz w:val="20"/>
                <w:szCs w:val="20"/>
              </w:rPr>
              <w:t>Mandatory | Voluntary (opt-in) | Voluntary (opt-out) | Voluntary (self-initiated) | Hybrid | Operator-side</w:t>
            </w:r>
          </w:p>
        </w:tc>
      </w:tr>
      <w:tr>
        <w:trPr/>
        <w:tc>
          <w:tcPr>
            <w:tcW w:w="2200" w:type="dxa"/>
            <w:tcBorders/>
          </w:tcPr>
          <w:p>
            <w:pPr>
              <w:pStyle w:val="Normal"/>
              <w:spacing w:lineRule="auto" w:line="240" w:before="0" w:after="0"/>
              <w:jc w:val="start"/>
              <w:rPr/>
            </w:pPr>
            <w:r>
              <w:rPr>
                <w:rFonts w:eastAsia="Times New Roman" w:cs="Times New Roman"/>
                <w:b/>
                <w:bCs/>
                <w:sz w:val="20"/>
                <w:szCs w:val="20"/>
              </w:rPr>
              <w:t>Reversibility vocabulary</w:t>
            </w:r>
          </w:p>
        </w:tc>
        <w:tc>
          <w:tcPr>
            <w:tcW w:w="7438" w:type="dxa"/>
            <w:tcBorders/>
          </w:tcPr>
          <w:p>
            <w:pPr>
              <w:pStyle w:val="Normal"/>
              <w:spacing w:lineRule="auto" w:line="240" w:before="0" w:after="0"/>
              <w:jc w:val="start"/>
              <w:rPr/>
            </w:pPr>
            <w:r>
              <w:rPr>
                <w:rFonts w:eastAsia="Times New Roman" w:cs="Times New Roman"/>
                <w:sz w:val="20"/>
                <w:szCs w:val="20"/>
              </w:rPr>
              <w:t>Reversible | Gated | Irreversible | N/A</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Control captures who initiates and authorises the tool’s operation. ‘Mandatory’ tools cannot be declined by the player. ‘Voluntary (opt-in)’ requires active player choice to enable; ‘Voluntary (opt-out)’ is enabled by default and requires player choice to disable. ‘Voluntary (self-initiated)’ captures tools the player applies independently without operator infrastructure. ‘Hybrid’ captures tools that combine player-side choice with operator-side enforcement. ‘Operator-side’ captures tools that operate entirely behind the scenes without player-facing controls (most detection systems). Reversibility captures whether the player can undo or modify their use of the tool: ‘Reversible’ immediately, ‘Gated’ through a delay or counselling requirement, ‘Irreversible’ permanently. ‘N/A’ applies where the concept does not apply (e.g., one-time messages, operator-side detection).</w:t>
            </w:r>
          </w:p>
        </w:tc>
      </w:tr>
    </w:tbl>
    <w:p>
      <w:pPr>
        <w:pStyle w:val="Normal"/>
        <w:spacing w:lineRule="auto" w:line="240" w:before="160" w:after="100"/>
        <w:jc w:val="start"/>
        <w:rPr/>
      </w:pPr>
      <w:r>
        <w:rPr>
          <w:rFonts w:eastAsia="Times New Roman" w:cs="Times New Roman"/>
          <w:b/>
          <w:bCs/>
          <w:i/>
          <w:iCs/>
          <w:sz w:val="24"/>
          <w:szCs w:val="24"/>
        </w:rPr>
        <w:t>Control value definitions</w:t>
      </w:r>
    </w:p>
    <w:p>
      <w:pPr>
        <w:pStyle w:val="Normal"/>
        <w:spacing w:lineRule="auto" w:line="240" w:before="0" w:after="120"/>
        <w:jc w:val="both"/>
        <w:rPr/>
      </w:pPr>
      <w:r>
        <w:rPr>
          <w:rFonts w:eastAsia="Times New Roman" w:cs="Times New Roman"/>
          <w:b/>
          <w:bCs/>
          <w:sz w:val="24"/>
          <w:szCs w:val="24"/>
        </w:rPr>
        <w:t xml:space="preserve">Mandatory. </w:t>
      </w:r>
      <w:r>
        <w:rPr>
          <w:rFonts w:eastAsia="Times New Roman" w:cs="Times New Roman"/>
          <w:bCs/>
          <w:sz w:val="24"/>
          <w:szCs w:val="24"/>
        </w:rPr>
        <w:t>Cannot be declined by the player (e.g. T004 mandatory daily deposit ceiling).</w:t>
      </w:r>
    </w:p>
    <w:p>
      <w:pPr>
        <w:pStyle w:val="Normal"/>
        <w:spacing w:lineRule="auto" w:line="240" w:before="0" w:after="120"/>
        <w:jc w:val="both"/>
        <w:rPr/>
      </w:pPr>
      <w:r>
        <w:rPr>
          <w:rFonts w:eastAsia="Times New Roman" w:cs="Times New Roman"/>
          <w:b/>
          <w:bCs/>
          <w:sz w:val="24"/>
          <w:szCs w:val="24"/>
        </w:rPr>
        <w:t xml:space="preserve">Voluntary (opt-in). </w:t>
      </w:r>
      <w:r>
        <w:rPr>
          <w:rFonts w:eastAsia="Times New Roman" w:cs="Times New Roman"/>
          <w:bCs/>
          <w:sz w:val="24"/>
          <w:szCs w:val="24"/>
        </w:rPr>
        <w:t>Requires active player choice to enable (e.g. T001 voluntary daily deposit limit).</w:t>
      </w:r>
    </w:p>
    <w:p>
      <w:pPr>
        <w:pStyle w:val="Normal"/>
        <w:spacing w:lineRule="auto" w:line="240" w:before="0" w:after="120"/>
        <w:jc w:val="both"/>
        <w:rPr/>
      </w:pPr>
      <w:r>
        <w:rPr>
          <w:rFonts w:eastAsia="Times New Roman" w:cs="Times New Roman"/>
          <w:b/>
          <w:bCs/>
          <w:sz w:val="24"/>
          <w:szCs w:val="24"/>
        </w:rPr>
        <w:t xml:space="preserve">Voluntary (opt-out). </w:t>
      </w:r>
      <w:r>
        <w:rPr>
          <w:rFonts w:eastAsia="Times New Roman" w:cs="Times New Roman"/>
          <w:bCs/>
          <w:sz w:val="24"/>
          <w:szCs w:val="24"/>
        </w:rPr>
        <w:t>Enabled by default; requires player choice to disable (e.g. T010 opt-out deposit limit prompt at registration).</w:t>
      </w:r>
    </w:p>
    <w:p>
      <w:pPr>
        <w:pStyle w:val="Normal"/>
        <w:spacing w:lineRule="auto" w:line="240" w:before="0" w:after="120"/>
        <w:jc w:val="both"/>
        <w:rPr/>
      </w:pPr>
      <w:r>
        <w:rPr>
          <w:rFonts w:eastAsia="Times New Roman" w:cs="Times New Roman"/>
          <w:b/>
          <w:bCs/>
          <w:sz w:val="24"/>
          <w:szCs w:val="24"/>
        </w:rPr>
        <w:t xml:space="preserve">Voluntary (self-initiated). </w:t>
      </w:r>
      <w:r>
        <w:rPr>
          <w:rFonts w:eastAsia="Times New Roman" w:cs="Times New Roman"/>
          <w:bCs/>
          <w:sz w:val="24"/>
          <w:szCs w:val="24"/>
        </w:rPr>
        <w:t>Applied by the player independently, without operator infrastructure (e.g. T057 player-installed blocking software).</w:t>
      </w:r>
    </w:p>
    <w:p>
      <w:pPr>
        <w:pStyle w:val="Normal"/>
        <w:spacing w:lineRule="auto" w:line="240" w:before="0" w:after="120"/>
        <w:jc w:val="both"/>
        <w:rPr/>
      </w:pPr>
      <w:r>
        <w:rPr>
          <w:rFonts w:eastAsia="Times New Roman" w:cs="Times New Roman"/>
          <w:b/>
          <w:bCs/>
          <w:sz w:val="24"/>
          <w:szCs w:val="24"/>
        </w:rPr>
        <w:t xml:space="preserve">Hybrid. </w:t>
      </w:r>
      <w:r>
        <w:rPr>
          <w:rFonts w:eastAsia="Times New Roman" w:cs="Times New Roman"/>
          <w:bCs/>
          <w:sz w:val="24"/>
          <w:szCs w:val="24"/>
        </w:rPr>
        <w:t>Combines player-side choice with operator-side enforcement (e.g. T189 third-party petition for a temporary spending freeze).</w:t>
      </w:r>
    </w:p>
    <w:p>
      <w:pPr>
        <w:pStyle w:val="Normal"/>
        <w:spacing w:lineRule="auto" w:line="240" w:before="0" w:after="120"/>
        <w:jc w:val="both"/>
        <w:rPr/>
      </w:pPr>
      <w:r>
        <w:rPr>
          <w:rFonts w:eastAsia="Times New Roman" w:cs="Times New Roman"/>
          <w:b/>
          <w:bCs/>
          <w:sz w:val="24"/>
          <w:szCs w:val="24"/>
        </w:rPr>
        <w:t xml:space="preserve">Operator-side. </w:t>
      </w:r>
      <w:r>
        <w:rPr>
          <w:rFonts w:eastAsia="Times New Roman" w:cs="Times New Roman"/>
          <w:bCs/>
          <w:sz w:val="24"/>
          <w:szCs w:val="24"/>
        </w:rPr>
        <w:t>Operates entirely behind the scenes, with no player-facing control (e.g. T090 rule-based behavioural detection).</w:t>
      </w:r>
    </w:p>
    <w:p>
      <w:pPr>
        <w:pStyle w:val="Normal"/>
        <w:spacing w:lineRule="auto" w:line="240" w:before="160" w:after="100"/>
        <w:jc w:val="start"/>
        <w:rPr/>
      </w:pPr>
      <w:r>
        <w:rPr>
          <w:rFonts w:eastAsia="Times New Roman" w:cs="Times New Roman"/>
          <w:b/>
          <w:bCs/>
          <w:i/>
          <w:iCs/>
          <w:sz w:val="24"/>
          <w:szCs w:val="24"/>
        </w:rPr>
        <w:t>Reversibility value definitions</w:t>
      </w:r>
    </w:p>
    <w:p>
      <w:pPr>
        <w:pStyle w:val="Normal"/>
        <w:spacing w:lineRule="auto" w:line="240" w:before="0" w:after="120"/>
        <w:jc w:val="both"/>
        <w:rPr/>
      </w:pPr>
      <w:r>
        <w:rPr>
          <w:rFonts w:eastAsia="Times New Roman" w:cs="Times New Roman"/>
          <w:b/>
          <w:bCs/>
          <w:sz w:val="24"/>
          <w:szCs w:val="24"/>
        </w:rPr>
        <w:t xml:space="preserve">Reversible. </w:t>
      </w:r>
      <w:r>
        <w:rPr>
          <w:rFonts w:eastAsia="Times New Roman" w:cs="Times New Roman"/>
          <w:bCs/>
          <w:sz w:val="24"/>
          <w:szCs w:val="24"/>
        </w:rPr>
        <w:t>The player can undo or modify use of the tool immediately.</w:t>
      </w:r>
    </w:p>
    <w:p>
      <w:pPr>
        <w:pStyle w:val="Normal"/>
        <w:spacing w:lineRule="auto" w:line="240" w:before="0" w:after="120"/>
        <w:jc w:val="both"/>
        <w:rPr/>
      </w:pPr>
      <w:r>
        <w:rPr>
          <w:rFonts w:eastAsia="Times New Roman" w:cs="Times New Roman"/>
          <w:b/>
          <w:bCs/>
          <w:sz w:val="24"/>
          <w:szCs w:val="24"/>
        </w:rPr>
        <w:t xml:space="preserve">Gated. </w:t>
      </w:r>
      <w:r>
        <w:rPr>
          <w:rFonts w:eastAsia="Times New Roman" w:cs="Times New Roman"/>
          <w:bCs/>
          <w:sz w:val="24"/>
          <w:szCs w:val="24"/>
        </w:rPr>
        <w:t>The player can undo or modify use only through a delay or counselling requirement.</w:t>
      </w:r>
    </w:p>
    <w:p>
      <w:pPr>
        <w:pStyle w:val="Normal"/>
        <w:spacing w:lineRule="auto" w:line="240" w:before="0" w:after="120"/>
        <w:jc w:val="both"/>
        <w:rPr/>
      </w:pPr>
      <w:r>
        <w:rPr>
          <w:rFonts w:eastAsia="Times New Roman" w:cs="Times New Roman"/>
          <w:b/>
          <w:bCs/>
          <w:sz w:val="24"/>
          <w:szCs w:val="24"/>
        </w:rPr>
        <w:t xml:space="preserve">Irreversible. </w:t>
      </w:r>
      <w:r>
        <w:rPr>
          <w:rFonts w:eastAsia="Times New Roman" w:cs="Times New Roman"/>
          <w:bCs/>
          <w:sz w:val="24"/>
          <w:szCs w:val="24"/>
        </w:rPr>
        <w:t>Use of the tool cannot be undone; it applies permanently.</w:t>
      </w:r>
    </w:p>
    <w:p>
      <w:pPr>
        <w:pStyle w:val="Normal"/>
        <w:spacing w:lineRule="auto" w:line="240" w:before="0" w:after="120"/>
        <w:jc w:val="both"/>
        <w:rPr/>
      </w:pPr>
      <w:r>
        <w:rPr>
          <w:rFonts w:eastAsia="Times New Roman" w:cs="Times New Roman"/>
          <w:b/>
          <w:bCs/>
          <w:sz w:val="24"/>
          <w:szCs w:val="24"/>
        </w:rPr>
        <w:t xml:space="preserve">N/A. </w:t>
      </w:r>
      <w:r>
        <w:rPr>
          <w:rFonts w:eastAsia="Times New Roman" w:cs="Times New Roman"/>
          <w:bCs/>
          <w:sz w:val="24"/>
          <w:szCs w:val="24"/>
        </w:rPr>
        <w:t>The concept does not apply (e.g. one-time messages, operator-side detection).</w:t>
      </w:r>
    </w:p>
    <w:p>
      <w:pPr>
        <w:pStyle w:val="Normal"/>
        <w:spacing w:lineRule="auto" w:line="240" w:before="200" w:after="100"/>
        <w:jc w:val="start"/>
        <w:rPr/>
      </w:pPr>
      <w:r>
        <w:rPr>
          <w:rFonts w:eastAsia="Times New Roman" w:cs="Times New Roman"/>
          <w:b/>
          <w:bCs/>
          <w:i/>
          <w:iCs/>
          <w:sz w:val="24"/>
          <w:szCs w:val="24"/>
        </w:rPr>
        <w:t>3.9 Personalisation</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whether and how the tool’s content or parameters are tailored to the individual player.</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(one of four base values) or a compound joined by ‘+’.</w:t>
            </w:r>
          </w:p>
        </w:tc>
      </w:tr>
      <w:tr>
        <w:trPr/>
        <w:tc>
          <w:tcPr>
            <w:tcW w:w="2200" w:type="dxa"/>
            <w:tcBorders/>
          </w:tcPr>
          <w:p>
            <w:pPr>
              <w:pStyle w:val="Normal"/>
              <w:spacing w:lineRule="auto" w:line="240" w:before="0" w:after="0"/>
              <w:jc w:val="start"/>
              <w:rPr/>
            </w:pPr>
            <w:r>
              <w:rPr>
                <w:rFonts w:eastAsia="Times New Roman" w:cs="Times New Roman"/>
                <w:b/>
                <w:bCs/>
                <w:sz w:val="20"/>
                <w:szCs w:val="20"/>
              </w:rPr>
              <w:t>Base vocabulary</w:t>
            </w:r>
          </w:p>
        </w:tc>
        <w:tc>
          <w:tcPr>
            <w:tcW w:w="7438" w:type="dxa"/>
            <w:tcBorders/>
          </w:tcPr>
          <w:p>
            <w:pPr>
              <w:pStyle w:val="Normal"/>
              <w:spacing w:lineRule="auto" w:line="240" w:before="0" w:after="0"/>
              <w:jc w:val="start"/>
              <w:rPr/>
            </w:pPr>
            <w:r>
              <w:rPr>
                <w:rFonts w:eastAsia="Times New Roman" w:cs="Times New Roman"/>
                <w:sz w:val="20"/>
                <w:szCs w:val="20"/>
              </w:rPr>
              <w:t>Non-tailored | User-tailored | System-tailored | Practitioner-tailored</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w:t>
            </w:r>
            <w:r>
              <w:rPr>
                <w:rFonts w:eastAsia="Times New Roman" w:cs="Times New Roman"/>
                <w:sz w:val="20"/>
                <w:szCs w:val="20"/>
              </w:rPr>
              <w:t>Non-tailored’ tools deliver identical content or parameters to all players. ‘User-tailored’ tools have content or parameters set by the player themselves. ‘System-tailored’ tools use algorithmic personalisation based on player data (behavioural risk scores, observed patterns). ‘Practitioner-tailored’ tools require actual judgement-based adaptation by a clinician, advisor, or staff member; mere delivery by a practitioner does not qualify. Compound values (joined by ‘+’) indicate tools that combine multiple personalisation modes (e.g., ‘User-tailored + System-tailored’ for tools where the player sets a goal and the system tailors delivery).</w:t>
            </w:r>
          </w:p>
        </w:tc>
      </w:tr>
    </w:tbl>
    <w:p>
      <w:pPr>
        <w:pStyle w:val="Normal"/>
        <w:spacing w:lineRule="auto" w:line="240" w:before="0" w:after="0"/>
        <w:rPr/>
      </w:pPr>
      <w:r>
        <w:rPr/>
      </w:r>
    </w:p>
    <w:p>
      <w:pPr>
        <w:pStyle w:val="Normal"/>
        <w:spacing w:lineRule="auto" w:line="240" w:before="160" w:after="100"/>
        <w:jc w:val="start"/>
        <w:rPr/>
      </w:pPr>
      <w:r>
        <w:rPr>
          <w:rFonts w:eastAsia="Times New Roman" w:cs="Times New Roman"/>
          <w:b/>
          <w:bCs/>
          <w:i/>
          <w:iCs/>
          <w:sz w:val="24"/>
          <w:szCs w:val="24"/>
        </w:rPr>
        <w:t>Value definitions</w:t>
      </w:r>
    </w:p>
    <w:p>
      <w:pPr>
        <w:pStyle w:val="Normal"/>
        <w:spacing w:lineRule="auto" w:line="240" w:before="0" w:after="120"/>
        <w:jc w:val="both"/>
        <w:rPr/>
      </w:pPr>
      <w:r>
        <w:rPr>
          <w:rFonts w:eastAsia="Times New Roman" w:cs="Times New Roman"/>
          <w:b/>
          <w:bCs/>
          <w:sz w:val="24"/>
          <w:szCs w:val="24"/>
        </w:rPr>
        <w:t xml:space="preserve">Non-tailored. </w:t>
      </w:r>
      <w:r>
        <w:rPr>
          <w:rFonts w:eastAsia="Times New Roman" w:cs="Times New Roman"/>
          <w:sz w:val="24"/>
          <w:szCs w:val="24"/>
        </w:rPr>
        <w:t>Identical content or parameters for all players who receive the tool.</w:t>
      </w:r>
    </w:p>
    <w:p>
      <w:pPr>
        <w:pStyle w:val="Normal"/>
        <w:spacing w:lineRule="auto" w:line="240" w:before="0" w:after="120"/>
        <w:jc w:val="both"/>
        <w:rPr/>
      </w:pPr>
      <w:r>
        <w:rPr>
          <w:rFonts w:eastAsia="Times New Roman" w:cs="Times New Roman"/>
          <w:b/>
          <w:bCs/>
          <w:sz w:val="24"/>
          <w:szCs w:val="24"/>
        </w:rPr>
        <w:t xml:space="preserve">User-tailored. </w:t>
      </w:r>
      <w:r>
        <w:rPr>
          <w:rFonts w:eastAsia="Times New Roman" w:cs="Times New Roman"/>
          <w:sz w:val="24"/>
          <w:szCs w:val="24"/>
        </w:rPr>
        <w:t>The player sets their own parameters or selects from options; the system enforces the player’s choice.</w:t>
      </w:r>
    </w:p>
    <w:p>
      <w:pPr>
        <w:pStyle w:val="Normal"/>
        <w:spacing w:lineRule="auto" w:line="240" w:before="0" w:after="120"/>
        <w:jc w:val="both"/>
        <w:rPr/>
      </w:pPr>
      <w:r>
        <w:rPr>
          <w:rFonts w:eastAsia="Times New Roman" w:cs="Times New Roman"/>
          <w:b/>
          <w:bCs/>
          <w:sz w:val="24"/>
          <w:szCs w:val="24"/>
        </w:rPr>
        <w:t xml:space="preserve">System-tailored. </w:t>
      </w:r>
      <w:r>
        <w:rPr>
          <w:rFonts w:eastAsia="Times New Roman" w:cs="Times New Roman"/>
          <w:sz w:val="24"/>
          <w:szCs w:val="24"/>
        </w:rPr>
        <w:t>The system algorithmically tailors content or parameters based on observed player data without requiring player input.</w:t>
      </w:r>
    </w:p>
    <w:p>
      <w:pPr>
        <w:pStyle w:val="Normal"/>
        <w:spacing w:lineRule="auto" w:line="240" w:before="0" w:after="120"/>
        <w:jc w:val="both"/>
        <w:rPr/>
      </w:pPr>
      <w:r>
        <w:rPr>
          <w:rFonts w:eastAsia="Times New Roman" w:cs="Times New Roman"/>
          <w:b/>
          <w:bCs/>
          <w:sz w:val="24"/>
          <w:szCs w:val="24"/>
        </w:rPr>
        <w:t xml:space="preserve">Practitioner-tailored. </w:t>
      </w:r>
      <w:r>
        <w:rPr>
          <w:rFonts w:eastAsia="Times New Roman" w:cs="Times New Roman"/>
          <w:sz w:val="24"/>
          <w:szCs w:val="24"/>
        </w:rPr>
        <w:t>A clinician, advisor, or trained staff member adapts the tool’s content or delivery based on judgement-based assessment of the individual player. Pure delivery by a practitioner without judgement-based adaptation is not Practitioner-tailored.</w:t>
      </w:r>
    </w:p>
    <w:p>
      <w:pPr>
        <w:pStyle w:val="Normal"/>
        <w:spacing w:lineRule="auto" w:line="240" w:before="200" w:after="100"/>
        <w:jc w:val="start"/>
        <w:rPr/>
      </w:pPr>
      <w:r>
        <w:rPr>
          <w:rFonts w:eastAsia="Times New Roman" w:cs="Times New Roman"/>
          <w:b/>
          <w:bCs/>
          <w:i/>
          <w:iCs/>
          <w:sz w:val="24"/>
          <w:szCs w:val="24"/>
        </w:rPr>
        <w:t>3.10 Trigger</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what causes the tool to activate and at which stage of the player’s gambling activity it operates.</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Compound: ‘Trigger | X; Stage | Y’</w:t>
            </w:r>
          </w:p>
        </w:tc>
      </w:tr>
      <w:tr>
        <w:trPr/>
        <w:tc>
          <w:tcPr>
            <w:tcW w:w="2200" w:type="dxa"/>
            <w:tcBorders/>
          </w:tcPr>
          <w:p>
            <w:pPr>
              <w:pStyle w:val="Normal"/>
              <w:spacing w:lineRule="auto" w:line="240" w:before="0" w:after="0"/>
              <w:jc w:val="start"/>
              <w:rPr/>
            </w:pPr>
            <w:r>
              <w:rPr>
                <w:rFonts w:eastAsia="Times New Roman" w:cs="Times New Roman"/>
                <w:b/>
                <w:bCs/>
                <w:sz w:val="20"/>
                <w:szCs w:val="20"/>
              </w:rPr>
              <w:t>Trigger vocabulary</w:t>
            </w:r>
          </w:p>
        </w:tc>
        <w:tc>
          <w:tcPr>
            <w:tcW w:w="7438" w:type="dxa"/>
            <w:tcBorders/>
          </w:tcPr>
          <w:p>
            <w:pPr>
              <w:pStyle w:val="Normal"/>
              <w:spacing w:lineRule="auto" w:line="240" w:before="0" w:after="0"/>
              <w:jc w:val="start"/>
              <w:rPr/>
            </w:pPr>
            <w:r>
              <w:rPr>
                <w:rFonts w:eastAsia="Times New Roman" w:cs="Times New Roman"/>
                <w:sz w:val="20"/>
                <w:szCs w:val="20"/>
              </w:rPr>
              <w:t>User-initiated | Scheduled | Operator-initiated | Time-threshold | Spend-threshold | Behaviour-threshold | Event-triggered | Third-party-initiated | N/A</w:t>
            </w:r>
          </w:p>
        </w:tc>
      </w:tr>
      <w:tr>
        <w:trPr/>
        <w:tc>
          <w:tcPr>
            <w:tcW w:w="2200" w:type="dxa"/>
            <w:tcBorders/>
          </w:tcPr>
          <w:p>
            <w:pPr>
              <w:pStyle w:val="Normal"/>
              <w:spacing w:lineRule="auto" w:line="240" w:before="0" w:after="0"/>
              <w:jc w:val="start"/>
              <w:rPr/>
            </w:pPr>
            <w:r>
              <w:rPr>
                <w:rFonts w:eastAsia="Times New Roman" w:cs="Times New Roman"/>
                <w:b/>
                <w:bCs/>
                <w:sz w:val="20"/>
                <w:szCs w:val="20"/>
              </w:rPr>
              <w:t>Stage vocabulary</w:t>
            </w:r>
          </w:p>
        </w:tc>
        <w:tc>
          <w:tcPr>
            <w:tcW w:w="7438" w:type="dxa"/>
            <w:tcBorders/>
          </w:tcPr>
          <w:p>
            <w:pPr>
              <w:pStyle w:val="Normal"/>
              <w:spacing w:lineRule="auto" w:line="240" w:before="0" w:after="0"/>
              <w:jc w:val="start"/>
              <w:rPr/>
            </w:pPr>
            <w:r>
              <w:rPr>
                <w:rFonts w:eastAsia="Times New Roman" w:cs="Times New Roman"/>
                <w:sz w:val="20"/>
                <w:szCs w:val="20"/>
              </w:rPr>
              <w:t>Pre-session | During-play | Post-session | Between-sessions | On-demand | Scheduled | Continuous | N/A</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Trigger captures what activates the tool. ‘User-initiated’ tools require active player action. ‘Scheduled’ tools activate at fixed calendar points (e.g., a weekly account review). ‘Operator-initiated’ tools are activated by operator decision (e.g., outreach calls). Threshold-based triggers (‘Time’, ‘Spend’, ‘Behaviour’) activate when the player crosses a defined parameter. ‘Event-triggered’ tools activate on specific events (e.g., wins, deposits). ‘Third-party-initiated’ covers tools triggered by family members or professionals. ‘N/A’ applies where the concept does not meaningfully apply (e.g., always-visible static signage). Stage captures when in the gambling cycle the tool operates. Compound Trigger values joined by ‘+’ indicate tools activated by more than one condition (e.g. T078 ‘Scheduled + Behaviour-threshold’).</w:t>
            </w:r>
          </w:p>
        </w:tc>
      </w:tr>
    </w:tbl>
    <w:p>
      <w:pPr>
        <w:pStyle w:val="Normal"/>
        <w:spacing w:lineRule="auto" w:line="240" w:before="160" w:after="100"/>
        <w:jc w:val="start"/>
        <w:rPr/>
      </w:pPr>
      <w:r>
        <w:rPr>
          <w:rFonts w:eastAsia="Times New Roman" w:cs="Times New Roman"/>
          <w:b/>
          <w:bCs/>
          <w:i/>
          <w:iCs/>
          <w:sz w:val="24"/>
          <w:szCs w:val="24"/>
        </w:rPr>
        <w:t>Stage value definitions</w:t>
      </w:r>
    </w:p>
    <w:p>
      <w:pPr>
        <w:pStyle w:val="Normal"/>
        <w:spacing w:lineRule="auto" w:line="240" w:before="0" w:after="120"/>
        <w:jc w:val="both"/>
        <w:rPr/>
      </w:pPr>
      <w:r>
        <w:rPr>
          <w:rFonts w:eastAsia="Times New Roman" w:cs="Times New Roman"/>
          <w:b/>
          <w:bCs/>
          <w:sz w:val="24"/>
          <w:szCs w:val="24"/>
        </w:rPr>
        <w:t xml:space="preserve">Pre-session. </w:t>
      </w:r>
      <w:r>
        <w:rPr>
          <w:rFonts w:eastAsia="Times New Roman" w:cs="Times New Roman"/>
          <w:bCs/>
          <w:sz w:val="24"/>
          <w:szCs w:val="24"/>
        </w:rPr>
        <w:t>Operates before a gambling session begins, at login, registration or deposit (e.g. T009 deposit limit prompt at registration).</w:t>
      </w:r>
    </w:p>
    <w:p>
      <w:pPr>
        <w:pStyle w:val="Normal"/>
        <w:spacing w:lineRule="auto" w:line="240" w:before="0" w:after="120"/>
        <w:jc w:val="both"/>
        <w:rPr/>
      </w:pPr>
      <w:r>
        <w:rPr>
          <w:rFonts w:eastAsia="Times New Roman" w:cs="Times New Roman"/>
          <w:b/>
          <w:bCs/>
          <w:sz w:val="24"/>
          <w:szCs w:val="24"/>
        </w:rPr>
        <w:t xml:space="preserve">During-play. </w:t>
      </w:r>
      <w:r>
        <w:rPr>
          <w:rFonts w:eastAsia="Times New Roman" w:cs="Times New Roman"/>
          <w:bCs/>
          <w:sz w:val="24"/>
          <w:szCs w:val="24"/>
        </w:rPr>
        <w:t>Operates while the player is actively gambling within a session (e.g. T016 loss-limit progress notification).</w:t>
      </w:r>
    </w:p>
    <w:p>
      <w:pPr>
        <w:pStyle w:val="Normal"/>
        <w:spacing w:lineRule="auto" w:line="240" w:before="0" w:after="120"/>
        <w:jc w:val="both"/>
        <w:rPr/>
      </w:pPr>
      <w:r>
        <w:rPr>
          <w:rFonts w:eastAsia="Times New Roman" w:cs="Times New Roman"/>
          <w:b/>
          <w:bCs/>
          <w:sz w:val="24"/>
          <w:szCs w:val="24"/>
        </w:rPr>
        <w:t xml:space="preserve">Post-session. </w:t>
      </w:r>
      <w:r>
        <w:rPr>
          <w:rFonts w:eastAsia="Times New Roman" w:cs="Times New Roman"/>
          <w:bCs/>
          <w:sz w:val="24"/>
          <w:szCs w:val="24"/>
        </w:rPr>
        <w:t>Operates after a session ends (e.g. T023 residual credits donation).</w:t>
      </w:r>
    </w:p>
    <w:p>
      <w:pPr>
        <w:pStyle w:val="Normal"/>
        <w:spacing w:lineRule="auto" w:line="240" w:before="0" w:after="120"/>
        <w:jc w:val="both"/>
        <w:rPr/>
      </w:pPr>
      <w:r>
        <w:rPr>
          <w:rFonts w:eastAsia="Times New Roman" w:cs="Times New Roman"/>
          <w:b/>
          <w:bCs/>
          <w:sz w:val="24"/>
          <w:szCs w:val="24"/>
        </w:rPr>
        <w:t xml:space="preserve">Between-sessions. </w:t>
      </w:r>
      <w:r>
        <w:rPr>
          <w:rFonts w:eastAsia="Times New Roman" w:cs="Times New Roman"/>
          <w:bCs/>
          <w:sz w:val="24"/>
          <w:szCs w:val="24"/>
        </w:rPr>
        <w:t>Operates between sessions at account level rather than in play (e.g. T052 operator-initiated forced exclusion).</w:t>
      </w:r>
    </w:p>
    <w:p>
      <w:pPr>
        <w:pStyle w:val="Normal"/>
        <w:spacing w:lineRule="auto" w:line="240" w:before="0" w:after="120"/>
        <w:jc w:val="both"/>
        <w:rPr/>
      </w:pPr>
      <w:r>
        <w:rPr>
          <w:rFonts w:eastAsia="Times New Roman" w:cs="Times New Roman"/>
          <w:b/>
          <w:bCs/>
          <w:sz w:val="24"/>
          <w:szCs w:val="24"/>
        </w:rPr>
        <w:t xml:space="preserve">On-demand. </w:t>
      </w:r>
      <w:r>
        <w:rPr>
          <w:rFonts w:eastAsia="Times New Roman" w:cs="Times New Roman"/>
          <w:bCs/>
          <w:sz w:val="24"/>
          <w:szCs w:val="24"/>
        </w:rPr>
        <w:t>Available whenever the player seeks it, at their point of access (e.g. T001 voluntary daily deposit limit).</w:t>
      </w:r>
    </w:p>
    <w:p>
      <w:pPr>
        <w:pStyle w:val="Normal"/>
        <w:spacing w:lineRule="auto" w:line="240" w:before="0" w:after="120"/>
        <w:jc w:val="both"/>
        <w:rPr/>
      </w:pPr>
      <w:r>
        <w:rPr>
          <w:rFonts w:eastAsia="Times New Roman" w:cs="Times New Roman"/>
          <w:b/>
          <w:bCs/>
          <w:sz w:val="24"/>
          <w:szCs w:val="24"/>
        </w:rPr>
        <w:t xml:space="preserve">Continuous. </w:t>
      </w:r>
      <w:r>
        <w:rPr>
          <w:rFonts w:eastAsia="Times New Roman" w:cs="Times New Roman"/>
          <w:bCs/>
          <w:sz w:val="24"/>
          <w:szCs w:val="24"/>
        </w:rPr>
        <w:t>Operates at all times, independent of session boundaries (e.g. T004 mandatory daily deposit ceiling).</w:t>
      </w:r>
    </w:p>
    <w:p>
      <w:pPr>
        <w:pStyle w:val="Normal"/>
        <w:spacing w:lineRule="auto" w:line="240" w:before="0" w:after="120"/>
        <w:jc w:val="both"/>
        <w:rPr/>
      </w:pPr>
      <w:r>
        <w:rPr>
          <w:rFonts w:eastAsia="Times New Roman" w:cs="Times New Roman"/>
          <w:b/>
          <w:bCs/>
          <w:sz w:val="24"/>
          <w:szCs w:val="24"/>
        </w:rPr>
        <w:t xml:space="preserve">Scheduled. </w:t>
      </w:r>
      <w:r>
        <w:rPr>
          <w:rFonts w:eastAsia="Times New Roman" w:cs="Times New Roman"/>
          <w:bCs/>
          <w:sz w:val="24"/>
          <w:szCs w:val="24"/>
        </w:rPr>
        <w:t>Operates at fixed calendar points; no tool carries Scheduled as its sole Stage, and it appears as a Trigger value (see above).</w:t>
      </w:r>
    </w:p>
    <w:p>
      <w:pPr>
        <w:pStyle w:val="Normal"/>
        <w:spacing w:lineRule="auto" w:line="240" w:before="0" w:after="120"/>
        <w:jc w:val="both"/>
        <w:rPr/>
      </w:pPr>
      <w:r>
        <w:rPr>
          <w:rFonts w:eastAsia="Times New Roman" w:cs="Times New Roman"/>
          <w:b/>
          <w:bCs/>
          <w:sz w:val="24"/>
          <w:szCs w:val="24"/>
        </w:rPr>
        <w:t xml:space="preserve">N/A. </w:t>
      </w:r>
      <w:r>
        <w:rPr>
          <w:rFonts w:eastAsia="Times New Roman" w:cs="Times New Roman"/>
          <w:bCs/>
          <w:sz w:val="24"/>
          <w:szCs w:val="24"/>
        </w:rPr>
        <w:t>The concept does not apply.</w:t>
      </w:r>
    </w:p>
    <w:p>
      <w:pPr>
        <w:pStyle w:val="Normal"/>
        <w:spacing w:lineRule="auto" w:line="240" w:before="0" w:after="120"/>
        <w:jc w:val="both"/>
        <w:rPr/>
      </w:pPr>
      <w:r>
        <w:rPr>
          <w:rFonts w:eastAsia="Times New Roman" w:cs="Times New Roman"/>
          <w:sz w:val="24"/>
          <w:szCs w:val="24"/>
        </w:rPr>
        <w:t>Compound stages joined by ‘+’ mark tools operating at two stages (e.g. T011, T146).</w:t>
      </w:r>
    </w:p>
    <w:p>
      <w:pPr>
        <w:pStyle w:val="Normal"/>
        <w:spacing w:lineRule="auto" w:line="240" w:before="160" w:after="80"/>
        <w:jc w:val="start"/>
        <w:rPr/>
      </w:pPr>
      <w:r>
        <w:rPr>
          <w:rFonts w:eastAsia="Times New Roman" w:cs="Times New Roman"/>
          <w:b/>
          <w:bCs/>
          <w:sz w:val="22"/>
          <w:szCs w:val="22"/>
        </w:rPr>
        <w:t>3.10.1 Stage 1 sources of the specification fields</w:t>
      </w:r>
    </w:p>
    <w:p>
      <w:pPr>
        <w:pStyle w:val="Normal"/>
        <w:spacing w:lineRule="auto" w:line="240" w:before="0" w:after="120"/>
        <w:jc w:val="both"/>
        <w:rPr/>
      </w:pPr>
      <w:r>
        <w:rPr>
          <w:rFonts w:eastAsia="Times New Roman" w:cs="Times New Roman"/>
          <w:sz w:val="24"/>
          <w:szCs w:val="24"/>
        </w:rPr>
        <w:t>The five specification fields consolidate record-level information from the Stage 1 extraction (fields as named in 02.1 Field Inventory and 02.2 Extraction Codebook; stored columns in brackets). Target Population consolidates Tool_Target_Tier (section 3.6). Delivery Context consolidates Setting (Platform_Setting) for Channel and Modality (a sub-field of Delivery_Mechanism) for Delivery. Personalisation consolidates Personalisation (a sub-field of User_Interaction): NONE maps to Non-tailored, USER-SET to User-tailored, BEHAVIOURAL to System-tailored, INDIVIDUALISED to Practitioner-tailored, with compound Stage 2 values where linked records carried more than one mode. Trigger consolidates Trigger and Timing (sub-fields of Delivery_Mechanism) for the Trigger and Stage components respectively. Governance consolidates Control (a sub-field of User_Interaction) for the Control component; the Reversibility component was introduced at Stage 2 and has no Stage 1 equivalent, being coded from the tool description and the linked records’ implementation detail. In each case the Stage 1 values of the records listed in Taxonomy Source were read together and resolved to a single framework-level value under the decision rules of sections 3.6 to 3.10; where records disagreed, the value describing the tool as specified in the Framework (its mechanism and parameters) took precedence over the value describing a particular study’s implementation.</w:t>
      </w:r>
    </w:p>
    <w:p>
      <w:pPr>
        <w:pStyle w:val="Normal"/>
        <w:spacing w:lineRule="auto" w:line="240" w:before="200" w:after="100"/>
        <w:jc w:val="start"/>
        <w:rPr/>
      </w:pPr>
      <w:r>
        <w:rPr>
          <w:rFonts w:eastAsia="Times New Roman" w:cs="Times New Roman"/>
          <w:b/>
          <w:bCs/>
          <w:i/>
          <w:iCs/>
          <w:sz w:val="24"/>
          <w:szCs w:val="24"/>
        </w:rPr>
        <w:t>3.11 Evidence Status</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Indicates the status of empirical evidence supporting the tool.</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Single value drawn from a controlled vocabulary.</w:t>
            </w:r>
          </w:p>
        </w:tc>
      </w:tr>
      <w:tr>
        <w:trPr/>
        <w:tc>
          <w:tcPr>
            <w:tcW w:w="2200" w:type="dxa"/>
            <w:tcBorders/>
          </w:tcPr>
          <w:p>
            <w:pPr>
              <w:pStyle w:val="Normal"/>
              <w:spacing w:lineRule="auto" w:line="240" w:before="0" w:after="0"/>
              <w:jc w:val="start"/>
              <w:rPr/>
            </w:pPr>
            <w:r>
              <w:rPr>
                <w:rFonts w:eastAsia="Times New Roman" w:cs="Times New Roman"/>
                <w:b/>
                <w:bCs/>
                <w:sz w:val="20"/>
                <w:szCs w:val="20"/>
              </w:rPr>
              <w:t>Controlled vocabulary</w:t>
            </w:r>
          </w:p>
        </w:tc>
        <w:tc>
          <w:tcPr>
            <w:tcW w:w="7438" w:type="dxa"/>
            <w:tcBorders/>
          </w:tcPr>
          <w:p>
            <w:pPr>
              <w:pStyle w:val="Normal"/>
              <w:spacing w:lineRule="auto" w:line="240" w:before="0" w:after="0"/>
              <w:jc w:val="start"/>
              <w:rPr/>
            </w:pPr>
            <w:r>
              <w:rPr>
                <w:rFonts w:eastAsia="Times New Roman" w:cs="Times New Roman"/>
                <w:sz w:val="20"/>
                <w:szCs w:val="20"/>
              </w:rPr>
              <w:t>Empirically tested | Theoretically derived | Policy / structural | Extrapolated</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Assigned by reference to the tool’s Taxonomy Source. Tools with one or more substantive empirical traces are coded as Empirically tested. Tools with no empirical traces but conceptual grounding in the reviewed evidence are Theoretically derived. Tools that are primarily regulatory or structural features (typically documented without direct empirical evaluation of their effect) are Policy / structural. Tools added by mechanistic extrapolation from the reviewed evidence base are Extrapolated.</w:t>
            </w:r>
          </w:p>
        </w:tc>
      </w:tr>
    </w:tbl>
    <w:p>
      <w:pPr>
        <w:pStyle w:val="Normal"/>
        <w:spacing w:lineRule="auto" w:line="240" w:before="0" w:after="0"/>
        <w:rPr/>
      </w:pPr>
      <w:r>
        <w:rPr/>
      </w:r>
    </w:p>
    <w:p>
      <w:pPr>
        <w:pStyle w:val="Normal"/>
        <w:spacing w:lineRule="auto" w:line="240" w:before="160" w:after="100"/>
        <w:jc w:val="start"/>
        <w:rPr/>
      </w:pPr>
      <w:r>
        <w:rPr>
          <w:rFonts w:eastAsia="Times New Roman" w:cs="Times New Roman"/>
          <w:b/>
          <w:bCs/>
          <w:i/>
          <w:iCs/>
          <w:sz w:val="24"/>
          <w:szCs w:val="24"/>
        </w:rPr>
        <w:t>Value definitions</w:t>
      </w:r>
    </w:p>
    <w:p>
      <w:pPr>
        <w:pStyle w:val="Normal"/>
        <w:spacing w:lineRule="auto" w:line="240" w:before="0" w:after="120"/>
        <w:jc w:val="both"/>
        <w:rPr/>
      </w:pPr>
      <w:r>
        <w:rPr>
          <w:rFonts w:eastAsia="Times New Roman" w:cs="Times New Roman"/>
          <w:b/>
          <w:bCs/>
          <w:sz w:val="24"/>
          <w:szCs w:val="24"/>
        </w:rPr>
        <w:t xml:space="preserve">Empirically tested. </w:t>
      </w:r>
      <w:r>
        <w:rPr>
          <w:rFonts w:eastAsia="Times New Roman" w:cs="Times New Roman"/>
          <w:sz w:val="24"/>
          <w:szCs w:val="24"/>
        </w:rPr>
        <w:t>The tool, or a closely matched variant, has been directly evaluated in the reviewed literature.</w:t>
      </w:r>
    </w:p>
    <w:p>
      <w:pPr>
        <w:pStyle w:val="Normal"/>
        <w:spacing w:lineRule="auto" w:line="240" w:before="0" w:after="120"/>
        <w:jc w:val="both"/>
        <w:rPr/>
      </w:pPr>
      <w:r>
        <w:rPr>
          <w:rFonts w:eastAsia="Times New Roman" w:cs="Times New Roman"/>
          <w:b/>
          <w:bCs/>
          <w:sz w:val="24"/>
          <w:szCs w:val="24"/>
        </w:rPr>
        <w:t xml:space="preserve">Theoretically derived. </w:t>
      </w:r>
      <w:r>
        <w:rPr>
          <w:rFonts w:eastAsia="Times New Roman" w:cs="Times New Roman"/>
          <w:sz w:val="24"/>
          <w:szCs w:val="24"/>
        </w:rPr>
        <w:t>The tool is conceptually motivated by the evidence base (mentioned, audited, or theorised) but has not been formally evaluated as a standalone intervention.</w:t>
      </w:r>
    </w:p>
    <w:p>
      <w:pPr>
        <w:pStyle w:val="Normal"/>
        <w:spacing w:lineRule="auto" w:line="240" w:before="0" w:after="120"/>
        <w:jc w:val="both"/>
        <w:rPr/>
      </w:pPr>
      <w:r>
        <w:rPr>
          <w:rFonts w:eastAsia="Times New Roman" w:cs="Times New Roman"/>
          <w:b/>
          <w:bCs/>
          <w:sz w:val="24"/>
          <w:szCs w:val="24"/>
        </w:rPr>
        <w:t xml:space="preserve">Policy / structural. </w:t>
      </w:r>
      <w:r>
        <w:rPr>
          <w:rFonts w:eastAsia="Times New Roman" w:cs="Times New Roman"/>
          <w:sz w:val="24"/>
          <w:szCs w:val="24"/>
        </w:rPr>
        <w:t>The tool is primarily a regulatory or structural feature; it is documented in the literature, typically without direct empirical evaluation of its effect. Used for policy-mandated controls (regulatory caps, mandatory signage, structural EGM modifications).</w:t>
      </w:r>
    </w:p>
    <w:p>
      <w:pPr>
        <w:pStyle w:val="Normal"/>
        <w:spacing w:lineRule="auto" w:line="240" w:before="0" w:after="120"/>
        <w:jc w:val="both"/>
        <w:rPr/>
      </w:pPr>
      <w:r>
        <w:rPr>
          <w:rFonts w:eastAsia="Times New Roman" w:cs="Times New Roman"/>
          <w:b/>
          <w:bCs/>
          <w:sz w:val="24"/>
          <w:szCs w:val="24"/>
        </w:rPr>
        <w:t xml:space="preserve">Extrapolated. </w:t>
      </w:r>
      <w:r>
        <w:rPr>
          <w:rFonts w:eastAsia="Times New Roman" w:cs="Times New Roman"/>
          <w:sz w:val="24"/>
          <w:szCs w:val="24"/>
        </w:rPr>
        <w:t>Novel tool derived by mechanistic extrapolation from reviewed evidence. Suggested tool that warrants future evaluation; not yet tested in any form.</w:t>
      </w:r>
    </w:p>
    <w:p>
      <w:pPr>
        <w:pStyle w:val="Normal"/>
        <w:spacing w:lineRule="auto" w:line="240" w:before="160" w:after="100"/>
        <w:jc w:val="start"/>
        <w:rPr/>
      </w:pPr>
      <w:r>
        <w:rPr>
          <w:rFonts w:eastAsia="Times New Roman" w:cs="Times New Roman"/>
          <w:b/>
          <w:bCs/>
          <w:i/>
          <w:iCs/>
          <w:sz w:val="24"/>
          <w:szCs w:val="24"/>
        </w:rPr>
        <w:t>Colour coding in the file</w:t>
      </w:r>
    </w:p>
    <w:p>
      <w:pPr>
        <w:pStyle w:val="Normal"/>
        <w:spacing w:lineRule="auto" w:line="240" w:before="0" w:after="120"/>
        <w:jc w:val="both"/>
        <w:rPr/>
      </w:pPr>
      <w:r>
        <w:rPr>
          <w:rFonts w:eastAsia="Times New Roman" w:cs="Times New Roman"/>
          <w:sz w:val="24"/>
          <w:szCs w:val="24"/>
        </w:rPr>
        <w:t>The Evidence Status cell in each tool row is filled according to its value: pale green for Empirically tested, pale yellow for Theoretically derived, pale blue for Policy / structural, pale orange for Extrapolated.</w:t>
      </w:r>
    </w:p>
    <w:p>
      <w:pPr>
        <w:pStyle w:val="Normal"/>
        <w:spacing w:lineRule="auto" w:line="240" w:before="200" w:after="100"/>
        <w:jc w:val="start"/>
        <w:rPr/>
      </w:pPr>
      <w:r>
        <w:rPr>
          <w:rFonts w:eastAsia="Times New Roman" w:cs="Times New Roman"/>
          <w:b/>
          <w:bCs/>
          <w:i/>
          <w:iCs/>
          <w:sz w:val="24"/>
          <w:szCs w:val="24"/>
        </w:rPr>
        <w:t>3.12 Taxonomy Source</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Lists the Stage 1 tool records that substantively examine the tool, providing direct traceability between the Framework and the underlying evidence base.</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Comma-separated list of Stage 1 study_id values, or empty for tools with no traceable evidence (typically Extrapolated tools).</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Populated according to the substantive trace rule (described below). All 410 Stage 1 records are referenced at least once across the column; conversely, 169 of 210 tools have at least one trace, with the remaining 41 tools (34 Extrapolated, 6 Theoretically derived, 1 Policy / structural) having no trace.</w:t>
            </w:r>
          </w:p>
        </w:tc>
      </w:tr>
    </w:tbl>
    <w:p>
      <w:pPr>
        <w:pStyle w:val="Normal"/>
        <w:spacing w:lineRule="auto" w:line="240" w:before="0" w:after="0"/>
        <w:rPr/>
      </w:pPr>
      <w:r>
        <w:rPr/>
      </w:r>
    </w:p>
    <w:p>
      <w:pPr>
        <w:pStyle w:val="Normal"/>
        <w:spacing w:lineRule="auto" w:line="240" w:before="160" w:after="80"/>
        <w:jc w:val="start"/>
        <w:rPr/>
      </w:pPr>
      <w:r>
        <w:rPr>
          <w:rFonts w:eastAsia="Times New Roman" w:cs="Times New Roman"/>
          <w:b/>
          <w:bCs/>
          <w:sz w:val="22"/>
          <w:szCs w:val="22"/>
        </w:rPr>
        <w:t>3.12.1 The substantive trace rule</w:t>
      </w:r>
    </w:p>
    <w:p>
      <w:pPr>
        <w:pStyle w:val="Normal"/>
        <w:spacing w:lineRule="auto" w:line="240" w:before="0" w:after="120"/>
        <w:jc w:val="both"/>
        <w:rPr/>
      </w:pPr>
      <w:r>
        <w:rPr>
          <w:rFonts w:eastAsia="Times New Roman" w:cs="Times New Roman"/>
          <w:sz w:val="24"/>
          <w:szCs w:val="24"/>
        </w:rPr>
        <w:t>A Stage 1 record is included as a Taxonomy Source for a Framework tool if and only if the underlying study substantively examines the tool concept. ‘Substantively’ means at least one of the following:</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The tool is named or described as a primary feature in the record’s tool_name or tool_description fields, not as a passing mention.</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The tool’s mechanism is detailed in the record (parameters, enforcement, deployment specifics), not merely listed alongside other tools.</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The study tests, observes, or audits the tool: the tool is part of what the study reports on, not background context.</w:t>
      </w:r>
    </w:p>
    <w:p>
      <w:pPr>
        <w:pStyle w:val="Normal"/>
        <w:spacing w:lineRule="auto" w:line="240" w:before="0" w:after="120"/>
        <w:jc w:val="both"/>
        <w:rPr/>
      </w:pPr>
      <w:r>
        <w:rPr>
          <w:rFonts w:eastAsia="Times New Roman" w:cs="Times New Roman"/>
          <w:sz w:val="24"/>
          <w:szCs w:val="24"/>
        </w:rPr>
        <w:t>A trace is excluded if:</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The tool is mentioned only as a contextual reference (e.g., ‘alongside other RG features…’).</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The mechanism described is materially different from the Framework tool concept (e.g., a study testing deposit limits without any periodicity is not a trace for the daily, weekly, or monthly variants specifically).</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The study’s primary tool is something else and the Framework tool is incidental to the study’s design.</w:t>
      </w:r>
    </w:p>
    <w:p>
      <w:pPr>
        <w:pStyle w:val="Normal"/>
        <w:spacing w:lineRule="auto" w:line="240" w:before="0" w:after="120"/>
        <w:jc w:val="both"/>
        <w:rPr/>
      </w:pPr>
      <w:r>
        <w:rPr>
          <w:rFonts w:eastAsia="Times New Roman" w:cs="Times New Roman"/>
          <w:sz w:val="24"/>
          <w:szCs w:val="24"/>
        </w:rPr>
        <w:t>This rule is applied uniformly across all 210 tools.</w:t>
      </w:r>
    </w:p>
    <w:p>
      <w:pPr>
        <w:pStyle w:val="Normal"/>
        <w:spacing w:lineRule="auto" w:line="240" w:before="160" w:after="80"/>
        <w:jc w:val="start"/>
        <w:rPr/>
      </w:pPr>
      <w:r>
        <w:rPr>
          <w:rFonts w:eastAsia="Times New Roman" w:cs="Times New Roman"/>
          <w:b/>
          <w:bCs/>
          <w:sz w:val="22"/>
          <w:szCs w:val="22"/>
        </w:rPr>
        <w:t>3.12.2 Multi-tool studies</w:t>
      </w:r>
    </w:p>
    <w:p>
      <w:pPr>
        <w:pStyle w:val="Normal"/>
        <w:spacing w:lineRule="auto" w:line="240" w:before="0" w:after="120"/>
        <w:jc w:val="both"/>
        <w:rPr/>
      </w:pPr>
      <w:r>
        <w:rPr>
          <w:rFonts w:eastAsia="Times New Roman" w:cs="Times New Roman"/>
          <w:sz w:val="24"/>
          <w:szCs w:val="24"/>
        </w:rPr>
        <w:t>Where a single Stage 1 record substantively examines multiple Framework tools (for example, policy audits covering daily, weekly, and monthly deposit limits within the same study), the record is listed as a Taxonomy Source for each Framework tool examined. This means a small number of records appear in the Taxonomy Source field for several Framework tools.</w:t>
      </w:r>
    </w:p>
    <w:p>
      <w:pPr>
        <w:pStyle w:val="Normal"/>
        <w:spacing w:lineRule="auto" w:line="240" w:before="160" w:after="80"/>
        <w:jc w:val="start"/>
        <w:rPr/>
      </w:pPr>
      <w:r>
        <w:rPr>
          <w:rFonts w:eastAsia="Times New Roman" w:cs="Times New Roman"/>
          <w:b/>
          <w:bCs/>
          <w:sz w:val="22"/>
          <w:szCs w:val="22"/>
        </w:rPr>
        <w:t>3.12.3 Cross-code drift</w:t>
      </w:r>
    </w:p>
    <w:p>
      <w:pPr>
        <w:pStyle w:val="Normal"/>
        <w:spacing w:lineRule="auto" w:line="240" w:before="0" w:after="120"/>
        <w:jc w:val="both"/>
        <w:rPr/>
      </w:pPr>
      <w:r>
        <w:rPr>
          <w:rFonts w:eastAsia="Times New Roman" w:cs="Times New Roman"/>
          <w:sz w:val="24"/>
          <w:szCs w:val="24"/>
        </w:rPr>
        <w:t>Stage 1 categorised tool records by their primary tool code. Framework tool boundaries cut across Stage 1 codes for a substantial share of traces, so some studies are filed under one code in Stage 1 but substantively examine a Framework tool in a different code. Of the 602 traces recorded in the Taxonomy Source column, 117 (19.4%) link a record to a Framework tool whose Category differs from every component of the record’s Stage 1 tool code, and 85 (14.1%) link it to a Framework tool whose framework domain differs from the domain the record was filed under at Stage 1 (record side: the taxonomy domain of the record’s first-listed Stage 1 code, with time-based limits and mandatory breaks read as Time and Session Management, as in the main manuscript; framework side: the domain of the Framework tool’s Tool Code in the Tool Code Reference sheet, so that placement in the Extrapolated and Novel Tools domain, or by mechanism as for T041 and T042, does not count as a crossing) (Cross_Category_Drift analysis; the broader any-difference count, which also includes compound Stage 1 codes decomposed to a single Framework Category, is 191, 31.7%). Examples:</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Donation/charity features filed under STRUCT-OTHER in Stage 1 but mapping to LIMIT-WIN tools in the Framework.</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Smart-card pre-commitment features filed under LIMIT-DEP in Stage 1 but mapping to STRUCT-PAY tools in the Framework.</w:t>
      </w:r>
    </w:p>
    <w:p>
      <w:pPr>
        <w:pStyle w:val="Normal"/>
        <w:spacing w:lineRule="auto" w:line="240" w:before="0" w:after="80"/>
        <w:ind w:hanging="240" w:start="360"/>
        <w:jc w:val="start"/>
        <w:rPr/>
      </w:pPr>
      <w:r>
        <w:rPr>
          <w:rFonts w:eastAsia="Times New Roman" w:cs="Times New Roman"/>
          <w:sz w:val="24"/>
          <w:szCs w:val="24"/>
        </w:rPr>
        <w:t xml:space="preserve">•  </w:t>
      </w:r>
      <w:r>
        <w:rPr>
          <w:rFonts w:eastAsia="Times New Roman" w:cs="Times New Roman"/>
          <w:sz w:val="24"/>
          <w:szCs w:val="24"/>
        </w:rPr>
        <w:t>Deposit-limit promotional emails filed under CONTACT-PROACTIVE in Stage 1 but mapping to MSG-PUSH tools in the Framework.</w:t>
      </w:r>
    </w:p>
    <w:p>
      <w:pPr>
        <w:pStyle w:val="Normal"/>
        <w:spacing w:lineRule="auto" w:line="240" w:before="0" w:after="120"/>
        <w:jc w:val="both"/>
        <w:rPr/>
      </w:pPr>
      <w:r>
        <w:rPr>
          <w:rFonts w:eastAsia="Times New Roman" w:cs="Times New Roman"/>
          <w:sz w:val="24"/>
          <w:szCs w:val="24"/>
        </w:rPr>
        <w:t>Where such drift occurs, the trace is recorded under the Framework tool the study examines, regardless of the Stage 1 tool code.</w:t>
      </w:r>
    </w:p>
    <w:p>
      <w:pPr>
        <w:pStyle w:val="Normal"/>
        <w:spacing w:lineRule="auto" w:line="240" w:before="160" w:after="80"/>
        <w:jc w:val="start"/>
        <w:rPr/>
      </w:pPr>
      <w:r>
        <w:rPr>
          <w:rFonts w:eastAsia="Times New Roman" w:cs="Times New Roman"/>
          <w:b/>
          <w:bCs/>
          <w:sz w:val="22"/>
          <w:szCs w:val="22"/>
        </w:rPr>
        <w:t>3.12.4 Stage and modality variations</w:t>
      </w:r>
    </w:p>
    <w:p>
      <w:pPr>
        <w:pStyle w:val="Normal"/>
        <w:spacing w:lineRule="auto" w:line="240" w:before="0" w:after="120"/>
        <w:jc w:val="both"/>
        <w:rPr/>
      </w:pPr>
      <w:r>
        <w:rPr>
          <w:rFonts w:eastAsia="Times New Roman" w:cs="Times New Roman"/>
          <w:sz w:val="24"/>
          <w:szCs w:val="24"/>
        </w:rPr>
        <w:t>Where a study tests a tool concept at a different stage or in a different delivery modality than the Framework specifies (for example, a risk-triggered message tested in-play but the Framework tool specifies pre-login deployment), the record is included as a trace if the consolidated tool concept matches. The stage or modality variation is recorded as part of the tool’s design parameters; the underlying tool concept is what the substantive trace rule evaluates.</w:t>
      </w:r>
    </w:p>
    <w:p>
      <w:pPr>
        <w:pStyle w:val="Normal"/>
        <w:spacing w:lineRule="auto" w:line="240" w:before="160" w:after="80"/>
        <w:jc w:val="start"/>
        <w:rPr/>
      </w:pPr>
      <w:r>
        <w:rPr>
          <w:rFonts w:eastAsia="Times New Roman" w:cs="Times New Roman"/>
          <w:b/>
          <w:bCs/>
          <w:sz w:val="22"/>
          <w:szCs w:val="22"/>
        </w:rPr>
        <w:t>3.12.5 Self-help framework domains</w:t>
      </w:r>
    </w:p>
    <w:p>
      <w:pPr>
        <w:pStyle w:val="Normal"/>
        <w:spacing w:lineRule="auto" w:line="240" w:before="0" w:after="120"/>
        <w:jc w:val="both"/>
        <w:rPr/>
      </w:pPr>
      <w:r>
        <w:rPr>
          <w:rFonts w:eastAsia="Times New Roman" w:cs="Times New Roman"/>
          <w:sz w:val="24"/>
          <w:szCs w:val="24"/>
        </w:rPr>
        <w:t>Several Stage 1 records (e.g., Rodda 2017’s six-domain self-change framework, Bagot 2021’s fifteen-category strategy taxonomy) catalogue many self-regulatory strategies in factor-analytic or domain-level groupings. Such records are included as a Taxonomy Source for a Framework tool only where the framework’s domain or factor explicitly corresponds to the Framework tool concept (e.g., ‘self-monitoring domain’ → Framework T144 Self-Monitoring Journaling). Mere inclusion in a long catalogue of strategies without domain-level correspondence is not sufficient for a substantive trace.</w:t>
      </w:r>
    </w:p>
    <w:p>
      <w:pPr>
        <w:pStyle w:val="Normal"/>
        <w:spacing w:lineRule="auto" w:line="240" w:before="160" w:after="80"/>
        <w:jc w:val="start"/>
        <w:rPr/>
      </w:pPr>
      <w:r>
        <w:rPr>
          <w:rFonts w:eastAsia="Times New Roman" w:cs="Times New Roman"/>
          <w:b/>
          <w:bCs/>
          <w:sz w:val="22"/>
          <w:szCs w:val="22"/>
        </w:rPr>
        <w:t>3.12.6 Coverage</w:t>
      </w:r>
    </w:p>
    <w:p>
      <w:pPr>
        <w:pStyle w:val="Normal"/>
        <w:spacing w:lineRule="auto" w:line="240" w:before="0" w:after="120"/>
        <w:jc w:val="both"/>
        <w:rPr/>
      </w:pPr>
      <w:r>
        <w:rPr>
          <w:rFonts w:eastAsia="Times New Roman" w:cs="Times New Roman"/>
          <w:sz w:val="24"/>
          <w:szCs w:val="24"/>
        </w:rPr>
        <w:t>All 410 Stage 1 records are referenced at least once across the Framework’s Taxonomy Source column. This is not a target outcome but a finding of the consolidation work: every record from Stage 1 substantively examines at least one tool concept that exists in the Framework. Where a record was difficult to place (typically because it tested a tool concept the Framework did not initially capture), the closest matching tool was identified and the record placed there with a note in the working log documenting any scope-stretch.</w:t>
      </w:r>
    </w:p>
    <w:p>
      <w:pPr>
        <w:pStyle w:val="Normal"/>
        <w:spacing w:lineRule="auto" w:line="240" w:before="200" w:after="100"/>
        <w:jc w:val="start"/>
        <w:rPr/>
      </w:pPr>
      <w:r>
        <w:rPr>
          <w:rFonts w:eastAsia="Times New Roman" w:cs="Times New Roman"/>
          <w:b/>
          <w:bCs/>
          <w:i/>
          <w:iCs/>
          <w:sz w:val="24"/>
          <w:szCs w:val="24"/>
        </w:rPr>
        <w:t>3.13 Notes</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Purpose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Free-text field for tool-specific commentary that does not belong in any other column.</w:t>
            </w:r>
          </w:p>
        </w:tc>
      </w:tr>
      <w:tr>
        <w:trPr/>
        <w:tc>
          <w:tcPr>
            <w:tcW w:w="2200" w:type="dxa"/>
            <w:tcBorders/>
          </w:tcPr>
          <w:p>
            <w:pPr>
              <w:pStyle w:val="Normal"/>
              <w:spacing w:lineRule="auto" w:line="240" w:before="0" w:after="0"/>
              <w:jc w:val="start"/>
              <w:rPr/>
            </w:pPr>
            <w:r>
              <w:rPr>
                <w:rFonts w:eastAsia="Times New Roman" w:cs="Times New Roman"/>
                <w:b/>
                <w:bCs/>
                <w:sz w:val="20"/>
                <w:szCs w:val="20"/>
              </w:rPr>
              <w:t>Format</w:t>
            </w:r>
          </w:p>
        </w:tc>
        <w:tc>
          <w:tcPr>
            <w:tcW w:w="7438" w:type="dxa"/>
            <w:tcBorders/>
          </w:tcPr>
          <w:p>
            <w:pPr>
              <w:pStyle w:val="Normal"/>
              <w:spacing w:lineRule="auto" w:line="240" w:before="0" w:after="0"/>
              <w:jc w:val="start"/>
              <w:rPr/>
            </w:pPr>
            <w:r>
              <w:rPr>
                <w:rFonts w:eastAsia="Times New Roman" w:cs="Times New Roman"/>
                <w:sz w:val="20"/>
                <w:szCs w:val="20"/>
              </w:rPr>
              <w:t>Free text. May include design rationale, deployment caveats, links to related tools, or audit notes.</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Decision rules</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Used sparingly and only where informative. Notes do not affect any other column’s coding. Notes may be used to flag where a tool’s name or description was changed during consolidation, where the underlying evidence is contested, or where the tool is conceptually adjacent to another Framework tool.</w:t>
            </w:r>
          </w:p>
        </w:tc>
      </w:tr>
    </w:tbl>
    <w:p>
      <w:pPr>
        <w:pStyle w:val="Normal"/>
        <w:spacing w:lineRule="auto" w:line="240" w:before="0" w:after="0"/>
        <w:rPr/>
      </w:pPr>
      <w:r>
        <w:rPr/>
      </w:r>
    </w:p>
    <w:p>
      <w:pPr>
        <w:pStyle w:val="Normal"/>
        <w:spacing w:lineRule="auto" w:line="240" w:before="280" w:after="120"/>
        <w:jc w:val="start"/>
        <w:rPr/>
      </w:pPr>
      <w:r>
        <w:rPr>
          <w:rFonts w:eastAsia="Times New Roman" w:cs="Times New Roman"/>
          <w:b/>
          <w:bCs/>
          <w:sz w:val="24"/>
          <w:szCs w:val="24"/>
        </w:rPr>
        <w:t>4. Reference sheets</w:t>
      </w:r>
    </w:p>
    <w:p>
      <w:pPr>
        <w:pStyle w:val="Normal"/>
        <w:spacing w:lineRule="auto" w:line="240" w:before="200" w:after="100"/>
        <w:jc w:val="start"/>
        <w:rPr/>
      </w:pPr>
      <w:r>
        <w:rPr>
          <w:rFonts w:eastAsia="Times New Roman" w:cs="Times New Roman"/>
          <w:b/>
          <w:bCs/>
          <w:i/>
          <w:iCs/>
          <w:sz w:val="24"/>
          <w:szCs w:val="24"/>
        </w:rPr>
        <w:t>4.1 Domain Summary sheet</w:t>
      </w:r>
    </w:p>
    <w:p>
      <w:pPr>
        <w:pStyle w:val="Normal"/>
        <w:spacing w:lineRule="auto" w:line="240" w:before="0" w:after="120"/>
        <w:jc w:val="both"/>
        <w:rPr/>
      </w:pPr>
      <w:r>
        <w:rPr>
          <w:rFonts w:eastAsia="Times New Roman" w:cs="Times New Roman"/>
          <w:sz w:val="24"/>
          <w:szCs w:val="24"/>
        </w:rPr>
        <w:t>The Domain Summary sheet provides navigation between the fifteen domains and their constituent tool codes. Columns:</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Domain</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Domain label as used in the main RG Intervention Framework sheet (column 2).</w:t>
            </w:r>
          </w:p>
        </w:tc>
      </w:tr>
      <w:tr>
        <w:trPr/>
        <w:tc>
          <w:tcPr>
            <w:tcW w:w="2200" w:type="dxa"/>
            <w:tcBorders/>
          </w:tcPr>
          <w:p>
            <w:pPr>
              <w:pStyle w:val="Normal"/>
              <w:spacing w:lineRule="auto" w:line="240" w:before="0" w:after="0"/>
              <w:jc w:val="start"/>
              <w:rPr/>
            </w:pPr>
            <w:r>
              <w:rPr>
                <w:rFonts w:eastAsia="Times New Roman" w:cs="Times New Roman"/>
                <w:b/>
                <w:bCs/>
                <w:sz w:val="20"/>
                <w:szCs w:val="20"/>
              </w:rPr>
              <w:t>Tool Codes</w:t>
            </w:r>
          </w:p>
        </w:tc>
        <w:tc>
          <w:tcPr>
            <w:tcW w:w="7438" w:type="dxa"/>
            <w:tcBorders/>
          </w:tcPr>
          <w:p>
            <w:pPr>
              <w:pStyle w:val="Normal"/>
              <w:spacing w:lineRule="auto" w:line="240" w:before="0" w:after="0"/>
              <w:jc w:val="start"/>
              <w:rPr/>
            </w:pPr>
            <w:r>
              <w:rPr>
                <w:rFonts w:eastAsia="Times New Roman" w:cs="Times New Roman"/>
                <w:sz w:val="20"/>
                <w:szCs w:val="20"/>
              </w:rPr>
              <w:t>Comma-separated list of tool codes that fall within the domain. The same codes appear in column 3 of the main sheet for tools belonging to this domain.</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Description</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Short description of the domain’s scope and the type of tools it contains.</w:t>
            </w:r>
          </w:p>
        </w:tc>
      </w:tr>
    </w:tbl>
    <w:p>
      <w:pPr>
        <w:pStyle w:val="Normal"/>
        <w:spacing w:lineRule="auto" w:line="240" w:before="0" w:after="0"/>
        <w:rPr/>
      </w:pPr>
      <w:r>
        <w:rPr/>
      </w:r>
    </w:p>
    <w:p>
      <w:pPr>
        <w:pStyle w:val="Normal"/>
        <w:spacing w:lineRule="auto" w:line="240" w:before="0" w:after="120"/>
        <w:jc w:val="both"/>
        <w:rPr/>
      </w:pPr>
      <w:r>
        <w:rPr>
          <w:rFonts w:eastAsia="Times New Roman" w:cs="Times New Roman"/>
          <w:sz w:val="24"/>
          <w:szCs w:val="24"/>
        </w:rPr>
        <w:t>The Domain Summary sheet does not include counts.</w:t>
      </w:r>
    </w:p>
    <w:p>
      <w:pPr>
        <w:pStyle w:val="Normal"/>
        <w:spacing w:lineRule="auto" w:line="240" w:before="200" w:after="100"/>
        <w:jc w:val="start"/>
        <w:rPr/>
      </w:pPr>
      <w:r>
        <w:rPr>
          <w:rFonts w:eastAsia="Times New Roman" w:cs="Times New Roman"/>
          <w:b/>
          <w:bCs/>
          <w:i/>
          <w:iCs/>
          <w:sz w:val="24"/>
          <w:szCs w:val="24"/>
        </w:rPr>
        <w:t>4.2 Tool Code Reference sheet</w:t>
      </w:r>
    </w:p>
    <w:p>
      <w:pPr>
        <w:pStyle w:val="Normal"/>
        <w:spacing w:lineRule="auto" w:line="240" w:before="0" w:after="120"/>
        <w:jc w:val="both"/>
        <w:rPr/>
      </w:pPr>
      <w:r>
        <w:rPr>
          <w:rFonts w:eastAsia="Times New Roman" w:cs="Times New Roman"/>
          <w:sz w:val="24"/>
          <w:szCs w:val="24"/>
        </w:rPr>
        <w:t>The Tool Code Reference sheet provides decoding for the abbreviated tool codes used in the main sheet. Columns:</w:t>
      </w:r>
    </w:p>
    <w:tbl>
      <w:tblPr>
        <w:tblW w:w="9638" w:type="dxa"/>
        <w:jc w:val="start"/>
        <w:tblInd w:w="0" w:type="dxa"/>
        <w:tblLayout w:type="fixed"/>
        <w:tblCellMar>
          <w:top w:w="60" w:type="dxa"/>
          <w:start w:w="100" w:type="dxa"/>
          <w:bottom w:w="60" w:type="dxa"/>
          <w:end w:w="100" w:type="dxa"/>
        </w:tblCellMar>
      </w:tblPr>
      <w:tblGrid>
        <w:gridCol w:w="2200"/>
        <w:gridCol w:w="7438"/>
      </w:tblGrid>
      <w:tr>
        <w:trPr/>
        <w:tc>
          <w:tcPr>
            <w:tcW w:w="2200" w:type="dxa"/>
            <w:tcBorders>
              <w:top w:val="single" w:sz="8" w:space="0" w:color="000000"/>
            </w:tcBorders>
          </w:tcPr>
          <w:p>
            <w:pPr>
              <w:pStyle w:val="Normal"/>
              <w:spacing w:lineRule="auto" w:line="240" w:before="0" w:after="0"/>
              <w:jc w:val="start"/>
              <w:rPr/>
            </w:pPr>
            <w:r>
              <w:rPr>
                <w:rFonts w:eastAsia="Times New Roman" w:cs="Times New Roman"/>
                <w:b/>
                <w:bCs/>
                <w:sz w:val="20"/>
                <w:szCs w:val="20"/>
              </w:rPr>
              <w:t>Code</w:t>
            </w:r>
          </w:p>
        </w:tc>
        <w:tc>
          <w:tcPr>
            <w:tcW w:w="7438" w:type="dxa"/>
            <w:tcBorders>
              <w:top w:val="single" w:sz="8" w:space="0" w:color="000000"/>
            </w:tcBorders>
          </w:tcPr>
          <w:p>
            <w:pPr>
              <w:pStyle w:val="Normal"/>
              <w:spacing w:lineRule="auto" w:line="240" w:before="0" w:after="0"/>
              <w:jc w:val="start"/>
              <w:rPr/>
            </w:pPr>
            <w:r>
              <w:rPr>
                <w:rFonts w:eastAsia="Times New Roman" w:cs="Times New Roman"/>
                <w:sz w:val="20"/>
                <w:szCs w:val="20"/>
              </w:rPr>
              <w:t>Hyphenated uppercase tool code (e.g., LIMIT-DEP, MSG-POP).</w:t>
            </w:r>
          </w:p>
        </w:tc>
      </w:tr>
      <w:tr>
        <w:trPr/>
        <w:tc>
          <w:tcPr>
            <w:tcW w:w="2200" w:type="dxa"/>
            <w:tcBorders/>
          </w:tcPr>
          <w:p>
            <w:pPr>
              <w:pStyle w:val="Normal"/>
              <w:spacing w:lineRule="auto" w:line="240" w:before="0" w:after="0"/>
              <w:jc w:val="start"/>
              <w:rPr/>
            </w:pPr>
            <w:r>
              <w:rPr>
                <w:rFonts w:eastAsia="Times New Roman" w:cs="Times New Roman"/>
                <w:b/>
                <w:bCs/>
                <w:sz w:val="20"/>
                <w:szCs w:val="20"/>
              </w:rPr>
              <w:t>Code Name</w:t>
            </w:r>
          </w:p>
        </w:tc>
        <w:tc>
          <w:tcPr>
            <w:tcW w:w="7438" w:type="dxa"/>
            <w:tcBorders/>
          </w:tcPr>
          <w:p>
            <w:pPr>
              <w:pStyle w:val="Normal"/>
              <w:spacing w:lineRule="auto" w:line="240" w:before="0" w:after="0"/>
              <w:jc w:val="start"/>
              <w:rPr/>
            </w:pPr>
            <w:r>
              <w:rPr>
                <w:rFonts w:eastAsia="Times New Roman" w:cs="Times New Roman"/>
                <w:sz w:val="20"/>
                <w:szCs w:val="20"/>
              </w:rPr>
              <w:t>Human-readable name of the tool code (e.g., ‘Deposit Limit’, ‘Pop-Up Message’).</w:t>
            </w:r>
          </w:p>
        </w:tc>
      </w:tr>
      <w:tr>
        <w:trPr/>
        <w:tc>
          <w:tcPr>
            <w:tcW w:w="2200" w:type="dxa"/>
            <w:tcBorders>
              <w:bottom w:val="single" w:sz="8" w:space="0" w:color="000000"/>
            </w:tcBorders>
          </w:tcPr>
          <w:p>
            <w:pPr>
              <w:pStyle w:val="Normal"/>
              <w:spacing w:lineRule="auto" w:line="240" w:before="0" w:after="0"/>
              <w:jc w:val="start"/>
              <w:rPr/>
            </w:pPr>
            <w:r>
              <w:rPr>
                <w:rFonts w:eastAsia="Times New Roman" w:cs="Times New Roman"/>
                <w:b/>
                <w:bCs/>
                <w:sz w:val="20"/>
                <w:szCs w:val="20"/>
              </w:rPr>
              <w:t>Domain</w:t>
            </w:r>
          </w:p>
        </w:tc>
        <w:tc>
          <w:tcPr>
            <w:tcW w:w="7438" w:type="dxa"/>
            <w:tcBorders>
              <w:bottom w:val="single" w:sz="8" w:space="0" w:color="000000"/>
            </w:tcBorders>
          </w:tcPr>
          <w:p>
            <w:pPr>
              <w:pStyle w:val="Normal"/>
              <w:spacing w:lineRule="auto" w:line="240" w:before="0" w:after="0"/>
              <w:jc w:val="start"/>
              <w:rPr/>
            </w:pPr>
            <w:r>
              <w:rPr>
                <w:rFonts w:eastAsia="Times New Roman" w:cs="Times New Roman"/>
                <w:sz w:val="20"/>
                <w:szCs w:val="20"/>
              </w:rPr>
              <w:t>Parent domain to which the tool code belongs.</w:t>
            </w:r>
          </w:p>
        </w:tc>
      </w:tr>
    </w:tbl>
    <w:p>
      <w:pPr>
        <w:pStyle w:val="Normal"/>
        <w:spacing w:lineRule="auto" w:line="240" w:before="0" w:after="0"/>
        <w:rPr/>
      </w:pPr>
      <w:r>
        <w:rPr/>
      </w:r>
    </w:p>
    <w:p>
      <w:pPr>
        <w:pStyle w:val="Normal"/>
        <w:spacing w:lineRule="auto" w:line="240" w:before="0" w:after="120"/>
        <w:jc w:val="both"/>
        <w:rPr/>
      </w:pPr>
      <w:r>
        <w:rPr>
          <w:rFonts w:eastAsia="Times New Roman" w:cs="Times New Roman"/>
          <w:sz w:val="24"/>
          <w:szCs w:val="24"/>
        </w:rPr>
        <w:t>The Tool Code Reference sheet does not include counts.</w:t>
      </w:r>
    </w:p>
    <w:p>
      <w:pPr>
        <w:pStyle w:val="Normal"/>
        <w:spacing w:lineRule="auto" w:line="240" w:before="280" w:after="120"/>
        <w:jc w:val="start"/>
        <w:rPr/>
      </w:pPr>
      <w:r>
        <w:rPr>
          <w:rFonts w:eastAsia="Times New Roman" w:cs="Times New Roman"/>
          <w:b/>
          <w:bCs/>
          <w:sz w:val="24"/>
          <w:szCs w:val="24"/>
        </w:rPr>
        <w:t>5. Versioning and updates</w:t>
      </w:r>
    </w:p>
    <w:p>
      <w:pPr>
        <w:pStyle w:val="Normal"/>
        <w:spacing w:lineRule="auto" w:line="240" w:before="0" w:after="120"/>
        <w:jc w:val="both"/>
        <w:rPr/>
      </w:pPr>
      <w:r>
        <w:rPr>
          <w:rFonts w:eastAsia="Times New Roman" w:cs="Times New Roman"/>
          <w:sz w:val="24"/>
          <w:szCs w:val="24"/>
        </w:rPr>
        <w:t>This codebook documents version 1.0 of the RG Intervention Framework. Future versions of the Framework may add new tools, refine controlled vocabularies, or update the Taxonomy Source mappings as new evidence becomes available.</w:t>
      </w:r>
    </w:p>
    <w:p>
      <w:pPr>
        <w:pStyle w:val="Normal"/>
        <w:spacing w:lineRule="auto" w:line="240" w:before="200" w:after="100"/>
        <w:jc w:val="start"/>
        <w:rPr/>
      </w:pPr>
      <w:r>
        <w:rPr>
          <w:rFonts w:eastAsia="Times New Roman" w:cs="Times New Roman"/>
          <w:b/>
          <w:bCs/>
          <w:i/>
          <w:iCs/>
          <w:sz w:val="24"/>
          <w:szCs w:val="24"/>
        </w:rPr>
        <w:t>5.1 Tool ID stability</w:t>
      </w:r>
    </w:p>
    <w:p>
      <w:pPr>
        <w:pStyle w:val="Normal"/>
        <w:spacing w:lineRule="auto" w:line="240" w:before="0" w:after="120"/>
        <w:jc w:val="both"/>
        <w:rPr/>
      </w:pPr>
      <w:r>
        <w:rPr>
          <w:rFonts w:eastAsia="Times New Roman" w:cs="Times New Roman"/>
          <w:sz w:val="24"/>
          <w:szCs w:val="24"/>
        </w:rPr>
        <w:t>Tool IDs are stable across versions. New tools added in a future version receive the next available ID; existing tools retain their original IDs. IDs are never reassigned or reused.</w:t>
      </w:r>
    </w:p>
    <w:p>
      <w:pPr>
        <w:pStyle w:val="Normal"/>
        <w:spacing w:lineRule="auto" w:line="240" w:before="200" w:after="100"/>
        <w:jc w:val="start"/>
        <w:rPr/>
      </w:pPr>
      <w:r>
        <w:rPr>
          <w:rFonts w:eastAsia="Times New Roman" w:cs="Times New Roman"/>
          <w:b/>
          <w:bCs/>
          <w:i/>
          <w:iCs/>
          <w:sz w:val="24"/>
          <w:szCs w:val="24"/>
        </w:rPr>
        <w:t>5.2 Controlled vocabulary stability</w:t>
      </w:r>
    </w:p>
    <w:p>
      <w:pPr>
        <w:pStyle w:val="Normal"/>
        <w:spacing w:lineRule="auto" w:line="240" w:before="0" w:after="120"/>
        <w:jc w:val="both"/>
        <w:rPr/>
      </w:pPr>
      <w:r>
        <w:rPr>
          <w:rFonts w:eastAsia="Times New Roman" w:cs="Times New Roman"/>
          <w:sz w:val="24"/>
          <w:szCs w:val="24"/>
        </w:rPr>
        <w:t>Controlled vocabularies (Target Population, Delivery Context, Governance, Personalisation, Trigger, Evidence Status) are intended to be stable. Changes to a controlled vocabulary trigger a major version increment. Additions of new values to an existing vocabulary trigger a minor version increment, with the previous values retained.</w:t>
      </w:r>
    </w:p>
    <w:p>
      <w:pPr>
        <w:pStyle w:val="Normal"/>
        <w:spacing w:lineRule="auto" w:line="240" w:before="200" w:after="100"/>
        <w:jc w:val="start"/>
        <w:rPr/>
      </w:pPr>
      <w:r>
        <w:rPr>
          <w:rFonts w:eastAsia="Times New Roman" w:cs="Times New Roman"/>
          <w:b/>
          <w:bCs/>
          <w:i/>
          <w:iCs/>
          <w:sz w:val="24"/>
          <w:szCs w:val="24"/>
        </w:rPr>
        <w:t>5.3 Taxonomy Source updates</w:t>
      </w:r>
    </w:p>
    <w:p>
      <w:pPr>
        <w:pStyle w:val="Normal"/>
        <w:spacing w:lineRule="auto" w:line="240" w:before="0" w:after="120"/>
        <w:jc w:val="both"/>
        <w:rPr/>
      </w:pPr>
      <w:r>
        <w:rPr>
          <w:rFonts w:eastAsia="Times New Roman" w:cs="Times New Roman"/>
          <w:sz w:val="24"/>
          <w:szCs w:val="24"/>
        </w:rPr>
        <w:t>Where new evidence from outside the original Stage 1 review is identified (for example, through forward-citation tracking or supplementary searches), the Taxonomy Source field may be updated to include additional study_ids. Updates of this kind do not change Tool IDs or Framework structure.</w:t>
      </w:r>
    </w:p>
    <w:p>
      <w:pPr>
        <w:pStyle w:val="Normal"/>
        <w:spacing w:lineRule="auto" w:line="240" w:before="200" w:after="100"/>
        <w:jc w:val="start"/>
        <w:rPr/>
      </w:pPr>
      <w:r>
        <w:rPr>
          <w:rFonts w:eastAsia="Times New Roman" w:cs="Times New Roman"/>
          <w:b/>
          <w:bCs/>
          <w:i/>
          <w:iCs/>
          <w:sz w:val="24"/>
          <w:szCs w:val="24"/>
        </w:rPr>
        <w:t>5.4 Companion file</w:t>
      </w:r>
    </w:p>
    <w:p>
      <w:pPr>
        <w:pStyle w:val="Normal"/>
        <w:spacing w:lineRule="auto" w:line="240" w:before="0" w:after="120"/>
        <w:jc w:val="both"/>
        <w:rPr/>
      </w:pPr>
      <w:r>
        <w:rPr>
          <w:rFonts w:eastAsia="Times New Roman" w:cs="Times New Roman"/>
          <w:sz w:val="24"/>
          <w:szCs w:val="24"/>
        </w:rPr>
        <w:t>This codebook is the canonical reference for the Framework’s structure and rules. Its companion file is 04.1 (04_1_RG_Intervention_Framework.xlsx).</w:t>
      </w:r>
    </w:p>
    <w:p>
      <w:pPr>
        <w:pStyle w:val="Normal"/>
        <w:spacing w:lineRule="auto" w:line="240" w:before="200" w:after="100"/>
        <w:jc w:val="start"/>
        <w:rPr/>
      </w:pPr>
      <w:r>
        <w:rPr>
          <w:rFonts w:eastAsia="Times New Roman" w:cs="Times New Roman"/>
          <w:b/>
          <w:bCs/>
          <w:i/>
          <w:iCs/>
          <w:sz w:val="24"/>
          <w:szCs w:val="24"/>
        </w:rPr>
        <w:t xml:space="preserve">5.5 Codebook revision history</w:t>
      </w:r>
    </w:p>
    <w:p>
      <w:pPr>
        <w:pStyle w:val="Normal"/>
        <w:spacing w:lineRule="auto" w:line="240" w:before="0" w:after="120"/>
        <w:jc w:val="both"/>
        <w:rPr/>
      </w:pPr>
      <w:r>
        <w:rPr>
          <w:rFonts w:eastAsia="Times New Roman" w:cs="Times New Roman"/>
          <w:sz w:val="24"/>
          <w:szCs w:val="24"/>
        </w:rPr>
        <w:t xml:space="preserve">Codebook revision 1.1 (September 2026): Section 3.12.3 revised to report the cross-code and cross-domain trace counts (117 of 602 and 93 of 602) in place of the earlier description of drift as occasional. The Framework file (04.1), Tool IDs, and controlled vocabularies are unchanged.</w:t>
      </w:r>
    </w:p>
    <w:p>
      <w:pPr>
        <w:pStyle w:val="Normal"/>
        <w:spacing w:lineRule="auto" w:line="240" w:before="0" w:after="120"/>
        <w:jc w:val="both"/>
        <w:rPr/>
      </w:pPr>
      <w:r>
        <w:rPr>
          <w:rFonts w:eastAsia="Times New Roman" w:cs="Times New Roman"/>
          <w:sz w:val="24"/>
          <w:szCs w:val="24"/>
        </w:rPr>
        <w:t>Codebook revision 1.2 (September 2026): Target Population decision rule (section 3.6) restated as design intent with Stage 1 Tool_Target_Tier as the third criterion, and its note corrected (LOW to Universal; Moderate-High-risk introduced at Stage 2); Stage 1 sources of all five specification fields documented (new section 3.10.1); T200 and T207 described as newly designed tools later linked to Stage 1 records (sections 2.1 and 3.2); domain rule extended for tools whose framework domain differs from the domain of their tool code (section 3.2); Governance and Stage value definitions added (sections 3.8 and 3.10); Trigger vocabulary corrected to the values used in the Framework file (Scheduled in, Automatic out; compound values noted); Policy / structural definition aligned with the main manuscript (section 3.11); cross-domain trace count corrected to 85 of 602 after removal of a duplicate trace token in T076 and recounting as crossings of framework domains, with the counting convention stated (section 3.12.3). The Framework file (04.1) changes only by the removal of that duplicate token and a spelling harmonisation; Tool IDs and all other cell values are unchanged.</w:t>
      </w:r>
    </w:p>
    <w:p>
      <w:pPr>
        <w:pStyle w:val="Normal"/>
        <w:spacing w:lineRule="auto" w:line="240" w:before="280" w:after="120"/>
        <w:rPr/>
      </w:pPr>
      <w:r>
        <w:rPr>
          <w:b/>
          <w:sz w:val="24"/>
        </w:rPr>
        <w:t>6. Stage 1 to Stage 2 Consolidation Summary</w:t>
      </w:r>
    </w:p>
    <w:p>
      <w:pPr>
        <w:pStyle w:val="Normal"/>
        <w:rPr/>
      </w:pPr>
      <w:r>
        <w:rPr/>
        <w:t>This section summarises the consolidation of the 410 Stage 1 tool records into the 210 framework tools, including trace coverage and reduction ratios. It is referenced from the main manuscript as Appendix 04.2.</w:t>
      </w:r>
    </w:p>
    <w:tbl>
      <w:tblPr>
        <w:tblW w:w="9638" w:type="dxa"/>
        <w:jc w:val="start"/>
        <w:tblInd w:w="0" w:type="dxa"/>
        <w:tblLayout w:type="fixed"/>
        <w:tblCellMar>
          <w:top w:w="0" w:type="dxa"/>
          <w:start w:w="108" w:type="dxa"/>
          <w:bottom w:w="0" w:type="dxa"/>
          <w:end w:w="108" w:type="dxa"/>
        </w:tblCellMar>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b/>
              </w:rPr>
              <w:t>Metric</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b/>
              </w:rPr>
              <w:t>Value</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Tool records (taxonomy total)</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410</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Tool records traced into the framework</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410</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Coverage of tool records</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100.0%</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Framework tools (total)</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210</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Framework tools with one or more Stage 1 traces</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169 (80.5%)</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Framework tools with no Stage 1 traces</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41 (19.5%)</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Total trace pairs (Stage 1 to Stage 2)</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602</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Reduction ratio across the full framework</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1.95 to 1</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Reduction ratio across the 176 evidence-derived framework tools</w:t>
            </w:r>
          </w:p>
        </w:tc>
        <w:tc>
          <w:tcPr>
            <w:tcW w:w="4819" w:type="dxa"/>
            <w:tcBorders>
              <w:top w:val="single" w:sz="4" w:space="0" w:color="000000"/>
              <w:start w:val="single" w:sz="4" w:space="0" w:color="000000"/>
              <w:bottom w:val="single" w:sz="4" w:space="0" w:color="000000"/>
              <w:end w:val="single" w:sz="4" w:space="0" w:color="000000"/>
            </w:tcBorders>
          </w:tcPr>
          <w:p>
            <w:pPr>
              <w:pStyle w:val="Normal"/>
              <w:rPr/>
            </w:pPr>
            <w:r>
              <w:rPr/>
              <w:t>2.33 to 1</w:t>
            </w:r>
          </w:p>
        </w:tc>
      </w:tr>
    </w:tbl>
    <w:p>
      <w:pPr>
        <w:pStyle w:val="Normal"/>
        <w:rPr/>
      </w:pPr>
      <w:r>
        <w:rPr/>
        <w:t>Note. A trace pair is a (tool record, framework tool) link recorded in the Taxonomy Source attribute. The 41 framework tools without a Stage 1 trace are the 34 Extrapolated framework tools (no Taxonomy Source by design), 6 Theoretically derived framework tools without a substantive trace, and 1 Policy or structural framework tool documented without empirical evaluation. The 176 evidence-derived framework tools comprise the Empirically tested, Theoretically derived, and Policy or structural categories (143 + 13 + 20). Relocated from the main manuscript.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end"/>
      <w:rPr/>
    </w:pPr>
    <w:r>
      <w:rPr>
        <w:rFonts w:eastAsia="Times New Roman" w:cs="Times New Roman"/>
        <w:sz w:val="20"/>
        <w:szCs w:val="20"/>
      </w:rPr>
      <w:t xml:space="preserve">Page </w:t>
    </w:r>
    <w:r>
      <w:rPr/>
      <w:fldChar w:fldCharType="begin"/>
    </w:r>
    <w:r>
      <w:rPr/>
      <w:instrText xml:space="preserve"> PAGE </w:instrText>
    </w:r>
    <w:r>
      <w:rPr/>
      <w:fldChar w:fldCharType="separate"/>
    </w:r>
    <w:r>
      <w:rPr/>
      <w:t>11</w:t>
    </w:r>
    <w:r>
      <w:rPr/>
      <w:fldChar w:fldCharType="end"/>
    </w:r>
    <w:r>
      <w:rPr>
        <w:rFonts w:eastAsia="Times New Roman" w:cs="Times New Roman"/>
        <w:sz w:val="20"/>
        <w:szCs w:val="20"/>
      </w:rPr>
      <w:t xml:space="preserve"> of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end"/>
      <w:rPr/>
    </w:pPr>
    <w:r>
      <w:rPr>
        <w:rFonts w:eastAsia="Times New Roman" w:cs="Times New Roman"/>
        <w:sz w:val="20"/>
        <w:szCs w:val="20"/>
      </w:rPr>
      <w:t xml:space="preserve">Page </w:t>
    </w:r>
    <w:r>
      <w:rPr/>
      <w:fldChar w:fldCharType="begin"/>
    </w:r>
    <w:r>
      <w:rPr/>
      <w:instrText xml:space="preserve"> PAGE </w:instrText>
    </w:r>
    <w:r>
      <w:rPr/>
      <w:fldChar w:fldCharType="separate"/>
    </w:r>
    <w:r>
      <w:rPr/>
      <w:t>11</w:t>
    </w:r>
    <w:r>
      <w:rPr/>
      <w:fldChar w:fldCharType="end"/>
    </w:r>
    <w:r>
      <w:rPr>
        <w:rFonts w:eastAsia="Times New Roman" w:cs="Times New Roman"/>
        <w:sz w:val="20"/>
        <w:szCs w:val="20"/>
      </w:rPr>
      <w:t xml:space="preserve"> of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start"/>
      <w:rPr/>
    </w:pPr>
    <w:r>
      <w:rPr>
        <w:rFonts w:eastAsia="Times New Roman" w:cs="Times New Roman"/>
        <w:i/>
        <w:iCs/>
        <w:sz w:val="20"/>
        <w:szCs w:val="20"/>
      </w:rPr>
      <w:t>Translating Evidence into Design: A Safe Bet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start"/>
      <w:rPr/>
    </w:pPr>
    <w:r>
      <w:rPr>
        <w:rFonts w:eastAsia="Times New Roman" w:cs="Times New Roman"/>
        <w:i/>
        <w:iCs/>
        <w:sz w:val="20"/>
        <w:szCs w:val="20"/>
      </w:rPr>
      <w:t>Translating Evidence into Design: A Safe Bet</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15.0000</AppVersion>
  <Pages>3</Pages>
  <Words>779</Words>
  <Characters>4388</Characters>
  <CharactersWithSpaces>5105</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2026-05-05T10:54:39Z</dcterms:created>
  <dc:creator>Harriet Galvin</dc:creator>
  <dc:description/>
  <dc:language>en-US</dc:language>
  <cp:lastModifiedBy>Harriet Galvin</cp:lastModifiedBy>
  <dcterms:modified xsi:type="dcterms:W3CDTF">2026-09-28T10:11:31Z</dcterms:modified>
  <cp:revision>2</cp:revision>
  <dc:subject/>
  <dc:title/>
</cp:coreProperties>
</file>