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80"/>
        <w:jc w:val="center"/>
        <w:rPr/>
      </w:pPr>
      <w:r>
        <w:rPr>
          <w:rFonts w:eastAsia="Times New Roman" w:cs="Times New Roman"/>
          <w:b/>
          <w:bCs/>
          <w:sz w:val="28"/>
          <w:szCs w:val="28"/>
        </w:rPr>
        <w:t>05.3 Architecture Codebook</w:t>
      </w:r>
    </w:p>
    <w:p>
      <w:pPr>
        <w:pStyle w:val="Normal"/>
        <w:spacing w:lineRule="auto" w:line="240" w:before="0" w:after="240"/>
        <w:jc w:val="center"/>
        <w:rPr/>
      </w:pPr>
      <w:r>
        <w:rPr>
          <w:rFonts w:eastAsia="Times New Roman" w:cs="Times New Roman"/>
          <w:i/>
          <w:iCs/>
          <w:sz w:val="24"/>
          <w:szCs w:val="24"/>
        </w:rPr>
        <w:t>Field definitions, controlled vocabularies, and decision rules for the UK and NL Implementation Architectures (Stage 3 of the A Safe Bet translational design)</w:t>
      </w:r>
    </w:p>
    <w:p>
      <w:pPr>
        <w:pStyle w:val="Normal"/>
        <w:spacing w:lineRule="auto" w:line="240" w:before="0" w:after="120"/>
        <w:jc w:val="start"/>
        <w:rPr/>
      </w:pPr>
      <w:r>
        <w:rPr>
          <w:rFonts w:eastAsia="Times New Roman" w:cs="Times New Roman"/>
          <w:b w:val="false"/>
          <w:bCs w:val="false"/>
          <w:i/>
          <w:iCs/>
          <w:sz w:val="24"/>
          <w:szCs w:val="24"/>
        </w:rPr>
        <w:t xml:space="preserve">Companion to: </w:t>
      </w:r>
      <w:r>
        <w:rPr>
          <w:rFonts w:eastAsia="Times New Roman" w:cs="Times New Roman"/>
          <w:b w:val="false"/>
          <w:bCs w:val="false"/>
          <w:i w:val="false"/>
          <w:iCs w:val="false"/>
          <w:sz w:val="24"/>
          <w:szCs w:val="24"/>
        </w:rPr>
        <w:t>05.1 UK Implementation Architecture, 05.2 NL Implementation Architecture, 05.4 Architecture Methodology</w:t>
      </w:r>
    </w:p>
    <w:p>
      <w:pPr>
        <w:pStyle w:val="Normal"/>
        <w:spacing w:lineRule="auto" w:line="240" w:before="280" w:after="120"/>
        <w:jc w:val="start"/>
        <w:rPr/>
      </w:pPr>
      <w:r>
        <w:rPr>
          <w:rFonts w:eastAsia="Times New Roman" w:cs="Times New Roman"/>
          <w:b/>
          <w:bCs/>
          <w:sz w:val="24"/>
          <w:szCs w:val="24"/>
        </w:rPr>
        <w:t>1. Overview</w:t>
      </w:r>
    </w:p>
    <w:p>
      <w:pPr>
        <w:pStyle w:val="Normal"/>
        <w:spacing w:lineRule="auto" w:line="240" w:before="200" w:after="100"/>
        <w:jc w:val="start"/>
        <w:rPr/>
      </w:pPr>
      <w:r>
        <w:rPr>
          <w:rFonts w:eastAsia="Times New Roman" w:cs="Times New Roman"/>
          <w:b/>
          <w:bCs/>
          <w:i/>
          <w:iCs/>
          <w:sz w:val="24"/>
          <w:szCs w:val="24"/>
        </w:rPr>
        <w:t>1.1 Purpose</w:t>
      </w:r>
    </w:p>
    <w:p>
      <w:pPr>
        <w:pStyle w:val="Normal"/>
        <w:spacing w:lineRule="auto" w:line="240" w:before="0" w:after="120"/>
        <w:jc w:val="both"/>
        <w:rPr/>
      </w:pPr>
      <w:r>
        <w:rPr>
          <w:rFonts w:eastAsia="Times New Roman" w:cs="Times New Roman"/>
          <w:sz w:val="24"/>
          <w:szCs w:val="24"/>
        </w:rPr>
        <w:t>The Implementation Architectures (files 05.1 and 05.2) are the third-stage output of the A Safe Bet design programme. Each architecture specifies a complete, deployment-ready RG configuration for a single operator and jurisdiction: 05.1 covers the UK architecture (SunVegas UK, regulated under the Licence Conditions and Codes of Practice), and 05.2 covers the NL architecture (Holland Casino Online, regulated under the Dutch Remote Gambling Act, KOA 2021).</w:t>
      </w:r>
    </w:p>
    <w:p>
      <w:pPr>
        <w:pStyle w:val="Normal"/>
        <w:spacing w:lineRule="auto" w:line="240" w:before="0" w:after="120"/>
        <w:jc w:val="both"/>
        <w:rPr/>
      </w:pPr>
      <w:r>
        <w:rPr>
          <w:rFonts w:eastAsia="Times New Roman" w:cs="Times New Roman"/>
          <w:sz w:val="24"/>
          <w:szCs w:val="24"/>
        </w:rPr>
        <w:t>This codebook documents the column structure, controlled vocabularies, and decision rules that govern both architecture files. The UK and NL architectures share an identical schema (same sheet names, same column headers, same controlled vocabularies), so a single codebook covers both with jurisdiction-specific notes where the values diverge.</w:t>
      </w:r>
    </w:p>
    <w:p>
      <w:pPr>
        <w:pStyle w:val="Normal"/>
        <w:spacing w:lineRule="auto" w:line="240" w:before="200" w:after="100"/>
        <w:jc w:val="start"/>
        <w:rPr/>
      </w:pPr>
      <w:r>
        <w:rPr>
          <w:rFonts w:eastAsia="Times New Roman" w:cs="Times New Roman"/>
          <w:b/>
          <w:bCs/>
          <w:i/>
          <w:iCs/>
          <w:sz w:val="24"/>
          <w:szCs w:val="24"/>
        </w:rPr>
        <w:t>1.2 Relationship to Stage 2</w:t>
      </w:r>
    </w:p>
    <w:p>
      <w:pPr>
        <w:pStyle w:val="Normal"/>
        <w:spacing w:lineRule="auto" w:line="240" w:before="0" w:after="120"/>
        <w:jc w:val="both"/>
        <w:rPr/>
      </w:pPr>
      <w:r>
        <w:rPr>
          <w:rFonts w:eastAsia="Times New Roman" w:cs="Times New Roman"/>
          <w:sz w:val="24"/>
          <w:szCs w:val="24"/>
        </w:rPr>
        <w:t>Stage 2 (the RG Intervention Framework, file 04.1) produced a structured framework of 210 framework tools derived from the systematic review. Stage 3 selects from that framework, prunes by regulatory and operator constraints, and operationalises the selected tools as deployable variants with full configuration parameters and player-facing copy. The mapping between Stage 2 framework tools and Stage 3 architecture tools is documented in 04.3 Framework to Architecture Translation.</w:t>
      </w:r>
    </w:p>
    <w:p>
      <w:pPr>
        <w:pStyle w:val="Normal"/>
        <w:spacing w:lineRule="auto" w:line="240" w:before="0" w:after="120"/>
        <w:jc w:val="both"/>
        <w:rPr/>
      </w:pPr>
      <w:r>
        <w:rPr>
          <w:rFonts w:eastAsia="Times New Roman" w:cs="Times New Roman"/>
          <w:sz w:val="24"/>
          <w:szCs w:val="24"/>
        </w:rPr>
        <w:t>This codebook does not duplicate Stage 2 documentation. Where the architectures inherit framework dimensions (Target Population, the Stage sub-vocabulary of Trigger, Personalisation, Governance, Delivery Context), readers are directed to 04.2 RG Intervention Framework Codebook for the upstream definitions. Architecture-specific operationalisation of those dimensions is documented here. Evidence Status, the sixth categorical dimension in 04.2, is not inherited because it describes Framework-level provenance rather than per-variant configuration.</w:t>
      </w:r>
    </w:p>
    <w:p>
      <w:pPr>
        <w:pStyle w:val="Normal"/>
        <w:spacing w:lineRule="auto" w:line="240" w:before="0" w:after="120"/>
        <w:jc w:val="both"/>
        <w:rPr/>
      </w:pPr>
      <w:r>
        <w:rPr>
          <w:rFonts w:eastAsia="Times New Roman" w:cs="Times New Roman"/>
          <w:i/>
          <w:iCs/>
          <w:sz w:val="20"/>
          <w:szCs w:val="20"/>
        </w:rPr>
        <w:t xml:space="preserve">Note. </w:t>
      </w:r>
      <w:r>
        <w:rPr>
          <w:rFonts w:eastAsia="Times New Roman" w:cs="Times New Roman"/>
          <w:sz w:val="20"/>
          <w:szCs w:val="20"/>
        </w:rPr>
        <w:t>The architecture’s risk_level field maps to the Framework’s Target Population vocabulary as follows: low corresponds to Universal-target tools, medium to Moderate-risk and Moderate-High-risk, high to High-risk, and YA (with UK sub-tiers YA_18 and YA_21) to Young adults. The Framework’s New accounts and Research/system development values do not map to architecture risk tiers because they describe targeting concepts not used at the deployment level.</w:t>
      </w:r>
    </w:p>
    <w:p>
      <w:pPr>
        <w:pStyle w:val="Normal"/>
        <w:spacing w:lineRule="auto" w:line="240" w:before="200" w:after="100"/>
        <w:jc w:val="start"/>
        <w:rPr/>
      </w:pPr>
      <w:r>
        <w:rPr>
          <w:rFonts w:eastAsia="Times New Roman" w:cs="Times New Roman"/>
          <w:b/>
          <w:bCs/>
          <w:i/>
          <w:iCs/>
          <w:sz w:val="24"/>
          <w:szCs w:val="24"/>
        </w:rPr>
        <w:t>1.3 File structure</w:t>
      </w:r>
    </w:p>
    <w:p>
      <w:pPr>
        <w:pStyle w:val="Normal"/>
        <w:spacing w:lineRule="auto" w:line="240" w:before="0" w:after="120"/>
        <w:jc w:val="both"/>
        <w:rPr/>
      </w:pPr>
      <w:r>
        <w:rPr>
          <w:rFonts w:eastAsia="Times New Roman" w:cs="Times New Roman"/>
          <w:sz w:val="24"/>
          <w:szCs w:val="24"/>
        </w:rPr>
        <w:t>Each architecture file (05.1 and 05.2) contains the same five sheets:</w:t>
      </w:r>
    </w:p>
    <w:p>
      <w:pPr>
        <w:pStyle w:val="Normal"/>
        <w:spacing w:lineRule="auto" w:line="240" w:before="0" w:after="120"/>
        <w:jc w:val="both"/>
        <w:rPr/>
      </w:pPr>
      <w:r>
        <w:rPr>
          <w:rFonts w:eastAsia="Times New Roman" w:cs="Times New Roman"/>
          <w:b/>
          <w:bCs/>
          <w:i w:val="false"/>
          <w:iCs w:val="false"/>
          <w:sz w:val="24"/>
          <w:szCs w:val="24"/>
        </w:rPr>
        <w:t xml:space="preserve">_index. </w:t>
      </w:r>
      <w:r>
        <w:rPr>
          <w:rFonts w:eastAsia="Times New Roman" w:cs="Times New Roman"/>
          <w:b w:val="false"/>
          <w:bCs w:val="false"/>
          <w:i w:val="false"/>
          <w:iCs w:val="false"/>
          <w:sz w:val="24"/>
          <w:szCs w:val="24"/>
        </w:rPr>
        <w:t>File metadata, document type definitions, codebook key, and quick-reference for the controlled vocabularies used across the other sheets.</w:t>
      </w:r>
    </w:p>
    <w:p>
      <w:pPr>
        <w:pStyle w:val="Normal"/>
        <w:spacing w:lineRule="auto" w:line="240" w:before="0" w:after="120"/>
        <w:jc w:val="both"/>
        <w:rPr/>
      </w:pPr>
      <w:r>
        <w:rPr>
          <w:rFonts w:eastAsia="Times New Roman" w:cs="Times New Roman"/>
          <w:b/>
          <w:bCs/>
          <w:i w:val="false"/>
          <w:iCs w:val="false"/>
          <w:sz w:val="24"/>
          <w:szCs w:val="24"/>
        </w:rPr>
        <w:t xml:space="preserve">tool_variants. </w:t>
      </w:r>
      <w:r>
        <w:rPr>
          <w:rFonts w:eastAsia="Times New Roman" w:cs="Times New Roman"/>
          <w:b w:val="false"/>
          <w:bCs w:val="false"/>
          <w:i w:val="false"/>
          <w:iCs w:val="false"/>
          <w:sz w:val="24"/>
          <w:szCs w:val="24"/>
        </w:rPr>
        <w:t>All deployed tool variants in the architecture, organised by tool. Each row specifies one variant’s configuration (risk tier, content type, threshold, limit-set mode, increase/decrease rules, cooldown, specification status).</w:t>
      </w:r>
    </w:p>
    <w:p>
      <w:pPr>
        <w:pStyle w:val="Normal"/>
        <w:spacing w:lineRule="auto" w:line="240" w:before="0" w:after="120"/>
        <w:jc w:val="both"/>
        <w:rPr/>
      </w:pPr>
      <w:r>
        <w:rPr>
          <w:rFonts w:eastAsia="Times New Roman" w:cs="Times New Roman"/>
          <w:b/>
          <w:bCs/>
          <w:i w:val="false"/>
          <w:iCs w:val="false"/>
          <w:sz w:val="24"/>
          <w:szCs w:val="24"/>
        </w:rPr>
        <w:t xml:space="preserve">excluded_tools. </w:t>
      </w:r>
      <w:r>
        <w:rPr>
          <w:rFonts w:eastAsia="Times New Roman" w:cs="Times New Roman"/>
          <w:b w:val="false"/>
          <w:bCs w:val="false"/>
          <w:i w:val="false"/>
          <w:iCs w:val="false"/>
          <w:sz w:val="24"/>
          <w:szCs w:val="24"/>
        </w:rPr>
        <w:t>Tools considered during Stage 3 selection but not built. Each excluded variant is recorded with its exclusion class and reason.</w:t>
      </w:r>
    </w:p>
    <w:p>
      <w:pPr>
        <w:pStyle w:val="Normal"/>
        <w:spacing w:lineRule="auto" w:line="240" w:before="0" w:after="120"/>
        <w:jc w:val="both"/>
        <w:rPr/>
      </w:pPr>
      <w:r>
        <w:rPr>
          <w:rFonts w:eastAsia="Times New Roman" w:cs="Times New Roman"/>
          <w:b/>
          <w:bCs/>
          <w:i w:val="false"/>
          <w:iCs w:val="false"/>
          <w:sz w:val="24"/>
          <w:szCs w:val="24"/>
        </w:rPr>
        <w:t xml:space="preserve">policy_rules. </w:t>
      </w:r>
      <w:r>
        <w:rPr>
          <w:rFonts w:eastAsia="Times New Roman" w:cs="Times New Roman"/>
          <w:b w:val="false"/>
          <w:bCs w:val="false"/>
          <w:i w:val="false"/>
          <w:iCs w:val="false"/>
          <w:sz w:val="24"/>
          <w:szCs w:val="24"/>
        </w:rPr>
        <w:t>System-level rules governing tool delivery: cross-tool scope, threshold triggers, limit-set modes, cooldowns, tailoring formulae, refresh timing, and Young Adult overlay.</w:t>
      </w:r>
    </w:p>
    <w:p>
      <w:pPr>
        <w:pStyle w:val="Normal"/>
        <w:spacing w:lineRule="auto" w:line="240" w:before="0" w:after="120"/>
        <w:jc w:val="both"/>
        <w:rPr/>
      </w:pPr>
      <w:r>
        <w:rPr>
          <w:rFonts w:eastAsia="Times New Roman" w:cs="Times New Roman"/>
          <w:b/>
          <w:bCs/>
          <w:i w:val="false"/>
          <w:iCs w:val="false"/>
          <w:sz w:val="24"/>
          <w:szCs w:val="24"/>
        </w:rPr>
        <w:t xml:space="preserve">message_templates. </w:t>
      </w:r>
      <w:r>
        <w:rPr>
          <w:rFonts w:eastAsia="Times New Roman" w:cs="Times New Roman"/>
          <w:b w:val="false"/>
          <w:bCs w:val="false"/>
          <w:i w:val="false"/>
          <w:iCs w:val="false"/>
          <w:sz w:val="24"/>
          <w:szCs w:val="24"/>
        </w:rPr>
        <w:t>Verbatim player-facing copy for variants where copy was developed. Each row specifies a single message at a single delivery point, with stage, surface, content type, button labels, and full copy text.</w:t>
      </w:r>
    </w:p>
    <w:p>
      <w:pPr>
        <w:pStyle w:val="Normal"/>
        <w:spacing w:lineRule="auto" w:line="240" w:before="200" w:after="100"/>
        <w:jc w:val="start"/>
        <w:rPr/>
      </w:pPr>
      <w:r>
        <w:rPr>
          <w:rFonts w:eastAsia="Times New Roman" w:cs="Times New Roman"/>
          <w:b/>
          <w:bCs/>
          <w:i/>
          <w:iCs/>
          <w:sz w:val="24"/>
          <w:szCs w:val="24"/>
        </w:rPr>
        <w:t>1.4 How to read this codebook</w:t>
      </w:r>
    </w:p>
    <w:p>
      <w:pPr>
        <w:pStyle w:val="Normal"/>
        <w:spacing w:lineRule="auto" w:line="240" w:before="0" w:after="120"/>
        <w:jc w:val="both"/>
        <w:rPr/>
      </w:pPr>
      <w:r>
        <w:rPr>
          <w:rFonts w:eastAsia="Times New Roman" w:cs="Times New Roman"/>
          <w:sz w:val="24"/>
          <w:szCs w:val="24"/>
        </w:rPr>
        <w:t>Section 2 documents the variant ID structure: the format used to identify every tool variant in the architecture and how its components encode jurisdiction, risk tier, governance, and tool category.</w:t>
      </w:r>
    </w:p>
    <w:p>
      <w:pPr>
        <w:pStyle w:val="Normal"/>
        <w:spacing w:lineRule="auto" w:line="240" w:before="0" w:after="120"/>
        <w:jc w:val="both"/>
        <w:rPr/>
      </w:pPr>
      <w:r>
        <w:rPr>
          <w:rFonts w:eastAsia="Times New Roman" w:cs="Times New Roman"/>
          <w:sz w:val="24"/>
          <w:szCs w:val="24"/>
        </w:rPr>
        <w:t>Sections 3 to 7 document each of the five sheets in turn. For each sheet, the codebook gives: purpose, columns and their definitions, controlled vocabularies (where applicable), and the decision rules applied during specification.</w:t>
      </w:r>
    </w:p>
    <w:p>
      <w:pPr>
        <w:pStyle w:val="Normal"/>
        <w:spacing w:lineRule="auto" w:line="240" w:before="0" w:after="120"/>
        <w:jc w:val="both"/>
        <w:rPr/>
      </w:pPr>
      <w:r>
        <w:rPr>
          <w:rFonts w:eastAsia="Times New Roman" w:cs="Times New Roman"/>
          <w:sz w:val="24"/>
          <w:szCs w:val="24"/>
        </w:rPr>
        <w:t>Section 8 documents the cross-jurisdictional differences between the UK and NL architectures: where they diverge and why.</w:t>
      </w:r>
    </w:p>
    <w:p>
      <w:pPr>
        <w:pStyle w:val="Normal"/>
        <w:spacing w:lineRule="auto" w:line="240" w:before="280" w:after="120"/>
        <w:jc w:val="start"/>
        <w:rPr/>
      </w:pPr>
      <w:r>
        <w:rPr>
          <w:rFonts w:eastAsia="Times New Roman" w:cs="Times New Roman"/>
          <w:b/>
          <w:bCs/>
          <w:sz w:val="24"/>
          <w:szCs w:val="24"/>
        </w:rPr>
        <w:t>2. Variant ID structure</w:t>
      </w:r>
    </w:p>
    <w:p>
      <w:pPr>
        <w:pStyle w:val="Normal"/>
        <w:spacing w:lineRule="auto" w:line="240" w:before="0" w:after="120"/>
        <w:jc w:val="both"/>
        <w:rPr/>
      </w:pPr>
      <w:r>
        <w:rPr>
          <w:rFonts w:eastAsia="Times New Roman" w:cs="Times New Roman"/>
          <w:sz w:val="24"/>
          <w:szCs w:val="24"/>
        </w:rPr>
        <w:t>Every tool variant in the architecture has a unique identifier of the following form:</w:t>
      </w:r>
    </w:p>
    <w:p>
      <w:pPr>
        <w:pStyle w:val="Normal"/>
        <w:spacing w:lineRule="auto" w:line="240" w:before="60" w:after="180"/>
        <w:jc w:val="center"/>
        <w:rPr/>
      </w:pPr>
      <w:r>
        <w:rPr>
          <w:rFonts w:eastAsia="Times New Roman" w:cs="Times New Roman"/>
          <w:b/>
          <w:bCs/>
          <w:sz w:val="24"/>
          <w:szCs w:val="24"/>
        </w:rPr>
        <w:t>[JUR].PA.[tier].[M/O].[category.tool#].[variant#]</w:t>
      </w:r>
    </w:p>
    <w:p>
      <w:pPr>
        <w:pStyle w:val="Normal"/>
        <w:spacing w:lineRule="auto" w:line="240" w:before="200" w:after="100"/>
        <w:jc w:val="start"/>
        <w:rPr/>
      </w:pPr>
      <w:r>
        <w:rPr>
          <w:rFonts w:eastAsia="Times New Roman" w:cs="Times New Roman"/>
          <w:b/>
          <w:bCs/>
          <w:i/>
          <w:iCs/>
          <w:sz w:val="24"/>
          <w:szCs w:val="24"/>
        </w:rPr>
        <w:t>2.1 Components</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[JUR]</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Jurisdiction. Two values: UK (United Kingdom; SunVegas, regulated under the Licence Conditions and Codes of Practice) or NL (Netherlands; Holland Casino Online, regulated under the Dutch Remote Gambling Act, KOA 2021).</w:t>
            </w:r>
          </w:p>
        </w:tc>
      </w:tr>
      <w:tr>
        <w:trPr/>
        <w:tc>
          <w:tcPr>
            <w:tcW w:w="2200" w:type="dxa"/>
            <w:tcBorders/>
          </w:tcPr>
          <w:p>
            <w:pPr>
              <w:pStyle w:val="Normal"/>
              <w:spacing w:lineRule="auto" w:line="240" w:before="0" w:after="0"/>
              <w:jc w:val="start"/>
              <w:rPr/>
            </w:pPr>
            <w:r>
              <w:rPr>
                <w:rFonts w:eastAsia="Times New Roman" w:cs="Times New Roman"/>
                <w:b/>
                <w:bCs/>
                <w:sz w:val="20"/>
                <w:szCs w:val="20"/>
              </w:rPr>
              <w:t>PA</w:t>
            </w:r>
          </w:p>
        </w:tc>
        <w:tc>
          <w:tcPr>
            <w:tcW w:w="7438" w:type="dxa"/>
            <w:tcBorders/>
          </w:tcPr>
          <w:p>
            <w:pPr>
              <w:pStyle w:val="Normal"/>
              <w:spacing w:lineRule="auto" w:line="240" w:before="0" w:after="0"/>
              <w:jc w:val="start"/>
              <w:rPr/>
            </w:pPr>
            <w:r>
              <w:rPr>
                <w:rFonts w:eastAsia="Times New Roman" w:cs="Times New Roman"/>
                <w:sz w:val="20"/>
                <w:szCs w:val="20"/>
              </w:rPr>
              <w:t>Player-facing Active intervention. Distinguishes architecture variants from system-internal logic; reserved for future expansion if other variant types are introduced.</w:t>
            </w:r>
          </w:p>
        </w:tc>
      </w:tr>
      <w:tr>
        <w:trPr/>
        <w:tc>
          <w:tcPr>
            <w:tcW w:w="2200" w:type="dxa"/>
            <w:tcBorders/>
          </w:tcPr>
          <w:p>
            <w:pPr>
              <w:pStyle w:val="Normal"/>
              <w:spacing w:lineRule="auto" w:line="240" w:before="0" w:after="0"/>
              <w:jc w:val="start"/>
              <w:rPr/>
            </w:pPr>
            <w:r>
              <w:rPr>
                <w:rFonts w:eastAsia="Times New Roman" w:cs="Times New Roman"/>
                <w:b/>
                <w:bCs/>
                <w:sz w:val="20"/>
                <w:szCs w:val="20"/>
              </w:rPr>
              <w:t>[tier]</w:t>
            </w:r>
          </w:p>
        </w:tc>
        <w:tc>
          <w:tcPr>
            <w:tcW w:w="7438" w:type="dxa"/>
            <w:tcBorders/>
          </w:tcPr>
          <w:p>
            <w:pPr>
              <w:pStyle w:val="Normal"/>
              <w:spacing w:lineRule="auto" w:line="240" w:before="0" w:after="0"/>
              <w:jc w:val="start"/>
              <w:rPr/>
            </w:pPr>
            <w:r>
              <w:rPr>
                <w:rFonts w:eastAsia="Times New Roman" w:cs="Times New Roman"/>
                <w:sz w:val="20"/>
                <w:szCs w:val="20"/>
              </w:rPr>
              <w:t>Risk tier. Values: 1 (low risk), 2 (medium risk), 3 (high risk), or YA (Young Adult; applied as overlay independent of risk tier). The UK architecture also uses YA_18 and YA_21 for the Loss Limit tool, where Young Adult thresholds differ by sub-age band.</w:t>
            </w:r>
          </w:p>
        </w:tc>
      </w:tr>
      <w:tr>
        <w:trPr/>
        <w:tc>
          <w:tcPr>
            <w:tcW w:w="2200" w:type="dxa"/>
            <w:tcBorders/>
          </w:tcPr>
          <w:p>
            <w:pPr>
              <w:pStyle w:val="Normal"/>
              <w:spacing w:lineRule="auto" w:line="240" w:before="0" w:after="0"/>
              <w:jc w:val="start"/>
              <w:rPr/>
            </w:pPr>
            <w:r>
              <w:rPr>
                <w:rFonts w:eastAsia="Times New Roman" w:cs="Times New Roman"/>
                <w:b/>
                <w:bCs/>
                <w:sz w:val="20"/>
                <w:szCs w:val="20"/>
              </w:rPr>
              <w:t>[M/O]</w:t>
            </w:r>
          </w:p>
        </w:tc>
        <w:tc>
          <w:tcPr>
            <w:tcW w:w="7438" w:type="dxa"/>
            <w:tcBorders/>
          </w:tcPr>
          <w:p>
            <w:pPr>
              <w:pStyle w:val="Normal"/>
              <w:spacing w:lineRule="auto" w:line="240" w:before="0" w:after="0"/>
              <w:jc w:val="start"/>
              <w:rPr/>
            </w:pPr>
            <w:r>
              <w:rPr>
                <w:rFonts w:eastAsia="Times New Roman" w:cs="Times New Roman"/>
                <w:sz w:val="20"/>
                <w:szCs w:val="20"/>
              </w:rPr>
              <w:t>Mandatory or Optional assignment. M = required by jurisdiction-specific regulation or by IMS specification; O = available as supplementary configuration but not required.</w:t>
            </w:r>
          </w:p>
        </w:tc>
      </w:tr>
      <w:tr>
        <w:trPr/>
        <w:tc>
          <w:tcPr>
            <w:tcW w:w="2200" w:type="dxa"/>
            <w:tcBorders/>
          </w:tcPr>
          <w:p>
            <w:pPr>
              <w:pStyle w:val="Normal"/>
              <w:spacing w:lineRule="auto" w:line="240" w:before="0" w:after="0"/>
              <w:jc w:val="start"/>
              <w:rPr/>
            </w:pPr>
            <w:r>
              <w:rPr>
                <w:rFonts w:eastAsia="Times New Roman" w:cs="Times New Roman"/>
                <w:b/>
                <w:bCs/>
                <w:sz w:val="20"/>
                <w:szCs w:val="20"/>
              </w:rPr>
              <w:t>[category.tool#]</w:t>
            </w:r>
          </w:p>
        </w:tc>
        <w:tc>
          <w:tcPr>
            <w:tcW w:w="7438" w:type="dxa"/>
            <w:tcBorders/>
          </w:tcPr>
          <w:p>
            <w:pPr>
              <w:pStyle w:val="Normal"/>
              <w:spacing w:lineRule="auto" w:line="240" w:before="0" w:after="0"/>
              <w:jc w:val="start"/>
              <w:rPr/>
            </w:pPr>
            <w:r>
              <w:rPr>
                <w:rFonts w:eastAsia="Times New Roman" w:cs="Times New Roman"/>
                <w:sz w:val="20"/>
                <w:szCs w:val="20"/>
              </w:rPr>
              <w:t>Framework category code paired with the tool number within that category. Category coding: 1.x = behavioural control tools (limits, breaks, messaging); 2.x = informational/educational tools; 3.x = self-assessment tools.</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[variant#]</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Variant number within the tool-tier combination. Distinguishes configurations of the same tool at the same tier (e.g., variant 1 = PPF content; variant 2 = EPF content).</w:t>
            </w:r>
          </w:p>
        </w:tc>
      </w:tr>
    </w:tbl>
    <w:p>
      <w:pPr>
        <w:pStyle w:val="Normal"/>
        <w:spacing w:lineRule="auto" w:line="240" w:before="0" w:after="0"/>
        <w:rPr/>
      </w:pPr>
      <w:r>
        <w:rPr/>
      </w:r>
    </w:p>
    <w:p>
      <w:pPr>
        <w:pStyle w:val="Normal"/>
        <w:spacing w:lineRule="auto" w:line="240" w:before="200" w:after="100"/>
        <w:jc w:val="start"/>
        <w:rPr/>
      </w:pPr>
      <w:r>
        <w:rPr>
          <w:rFonts w:eastAsia="Times New Roman" w:cs="Times New Roman"/>
          <w:b/>
          <w:bCs/>
          <w:i/>
          <w:iCs/>
          <w:sz w:val="24"/>
          <w:szCs w:val="24"/>
        </w:rPr>
        <w:t>2.2 Worked examples</w:t>
      </w:r>
    </w:p>
    <w:p>
      <w:pPr>
        <w:pStyle w:val="Normal"/>
        <w:spacing w:lineRule="auto" w:line="240" w:before="0" w:after="120"/>
        <w:jc w:val="both"/>
        <w:rPr/>
      </w:pPr>
      <w:r>
        <w:rPr>
          <w:rFonts w:eastAsia="Times New Roman" w:cs="Times New Roman"/>
          <w:b/>
          <w:bCs/>
          <w:i w:val="false"/>
          <w:iCs w:val="false"/>
          <w:sz w:val="24"/>
          <w:szCs w:val="24"/>
        </w:rPr>
        <w:t xml:space="preserve">UK.PA.3.M.1.1.1: </w:t>
      </w:r>
      <w:r>
        <w:rPr>
          <w:rFonts w:eastAsia="Times New Roman" w:cs="Times New Roman"/>
          <w:b w:val="false"/>
          <w:bCs w:val="false"/>
          <w:i w:val="false"/>
          <w:iCs w:val="false"/>
          <w:sz w:val="24"/>
          <w:szCs w:val="24"/>
        </w:rPr>
        <w:t>United Kingdom, player-facing active intervention, R3 (high risk) tier, Mandatory assignment, Deposit Limit (category 1, tool 1), variant 1.</w:t>
      </w:r>
    </w:p>
    <w:p>
      <w:pPr>
        <w:pStyle w:val="Normal"/>
        <w:spacing w:lineRule="auto" w:line="240" w:before="0" w:after="120"/>
        <w:jc w:val="both"/>
        <w:rPr/>
      </w:pPr>
      <w:r>
        <w:rPr>
          <w:rFonts w:eastAsia="Times New Roman" w:cs="Times New Roman"/>
          <w:b/>
          <w:bCs/>
          <w:i w:val="false"/>
          <w:iCs w:val="false"/>
          <w:sz w:val="24"/>
          <w:szCs w:val="24"/>
        </w:rPr>
        <w:t xml:space="preserve">NL.PA.YA.M.1.4.1: </w:t>
      </w:r>
      <w:r>
        <w:rPr>
          <w:rFonts w:eastAsia="Times New Roman" w:cs="Times New Roman"/>
          <w:b w:val="false"/>
          <w:bCs w:val="false"/>
          <w:i w:val="false"/>
          <w:iCs w:val="false"/>
          <w:sz w:val="24"/>
          <w:szCs w:val="24"/>
        </w:rPr>
        <w:t>Netherlands, player-facing active intervention, Young Adult overlay, Mandatory assignment, Bonus Ban (category 1, tool 4), variant 1. Note: this variant appears only in the NL excluded_tools sheet, since Bonus Ban is excluded from the NL architecture under KOA 2021 regulatory provisions.</w:t>
      </w:r>
    </w:p>
    <w:p>
      <w:pPr>
        <w:pStyle w:val="Normal"/>
        <w:spacing w:lineRule="auto" w:line="240" w:before="200" w:after="100"/>
        <w:jc w:val="start"/>
        <w:rPr/>
      </w:pPr>
      <w:r>
        <w:rPr>
          <w:rFonts w:eastAsia="Times New Roman" w:cs="Times New Roman"/>
          <w:b/>
          <w:bCs/>
          <w:i/>
          <w:iCs/>
          <w:sz w:val="24"/>
          <w:szCs w:val="24"/>
        </w:rPr>
        <w:t>2.3 Stability and reuse</w:t>
      </w:r>
    </w:p>
    <w:p>
      <w:pPr>
        <w:pStyle w:val="Normal"/>
        <w:spacing w:lineRule="auto" w:line="240" w:before="0" w:after="120"/>
        <w:jc w:val="both"/>
        <w:rPr/>
      </w:pPr>
      <w:r>
        <w:rPr>
          <w:rFonts w:eastAsia="Times New Roman" w:cs="Times New Roman"/>
          <w:sz w:val="24"/>
          <w:szCs w:val="24"/>
        </w:rPr>
        <w:t>Variant IDs are stable. Once assigned, a variant ID is never reused or reassigned. Excluded tool variants retain their assigned IDs and are documented in the excluded_tools sheet rather than removed from the ID space, preserving the audit trail of Stage 3 selection decisions.</w:t>
      </w:r>
    </w:p>
    <w:p>
      <w:pPr>
        <w:pStyle w:val="Normal"/>
        <w:spacing w:lineRule="auto" w:line="240" w:before="280" w:after="120"/>
        <w:jc w:val="start"/>
        <w:rPr/>
      </w:pPr>
      <w:r>
        <w:rPr>
          <w:rFonts w:eastAsia="Times New Roman" w:cs="Times New Roman"/>
          <w:b/>
          <w:bCs/>
          <w:sz w:val="24"/>
          <w:szCs w:val="24"/>
        </w:rPr>
        <w:t>3. tool_variants sheet</w:t>
      </w:r>
    </w:p>
    <w:p>
      <w:pPr>
        <w:pStyle w:val="Normal"/>
        <w:spacing w:lineRule="auto" w:line="240" w:before="0" w:after="120"/>
        <w:jc w:val="both"/>
        <w:rPr/>
      </w:pPr>
      <w:r>
        <w:rPr>
          <w:rFonts w:eastAsia="Times New Roman" w:cs="Times New Roman"/>
          <w:sz w:val="24"/>
          <w:szCs w:val="24"/>
        </w:rPr>
        <w:t>The main data sheet of each architecture file. One row per variant. Documents the operational specification of every tool variant deployed in the architecture.</w:t>
      </w:r>
    </w:p>
    <w:p>
      <w:pPr>
        <w:pStyle w:val="Normal"/>
        <w:spacing w:lineRule="auto" w:line="240" w:before="200" w:after="100"/>
        <w:jc w:val="start"/>
        <w:rPr/>
      </w:pPr>
      <w:r>
        <w:rPr>
          <w:rFonts w:eastAsia="Times New Roman" w:cs="Times New Roman"/>
          <w:b/>
          <w:bCs/>
          <w:i/>
          <w:iCs/>
          <w:sz w:val="24"/>
          <w:szCs w:val="24"/>
        </w:rPr>
        <w:t>3.1 Columns</w:t>
      </w:r>
    </w:p>
    <w:p>
      <w:pPr>
        <w:pStyle w:val="Normal"/>
        <w:spacing w:lineRule="auto" w:line="240" w:before="160" w:after="80"/>
        <w:jc w:val="start"/>
        <w:rPr/>
      </w:pPr>
      <w:r>
        <w:rPr>
          <w:rFonts w:eastAsia="Times New Roman" w:cs="Times New Roman"/>
          <w:b/>
          <w:bCs/>
          <w:sz w:val="22"/>
          <w:szCs w:val="22"/>
        </w:rPr>
        <w:t>3.1.1 tool_name</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Canonical name of the tool to which this variant belongs.</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Lowercase string with underscores (e.g., deposit_limit, login_playtime_limit).</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Tool names are stable across jurisdictions: a tool with the same canonical name is the same tool concept in both UK and NL architectures, even where its variants differ. The UK and NL architectures share 12 tools by canonical name; the UK additionally builds Bonus Ban and Promo Ban (excluded from NL); the NL additionally builds Automatic Withdrawal Limit (AWL, excluded from UK).</w:t>
            </w:r>
          </w:p>
        </w:tc>
      </w:tr>
    </w:tbl>
    <w:p>
      <w:pPr>
        <w:pStyle w:val="Normal"/>
        <w:spacing w:lineRule="auto" w:line="240" w:before="0" w:after="0"/>
        <w:rPr/>
      </w:pPr>
      <w:r>
        <w:rPr/>
      </w:r>
    </w:p>
    <w:p>
      <w:pPr>
        <w:pStyle w:val="Normal"/>
        <w:spacing w:lineRule="auto" w:line="240" w:before="160" w:after="80"/>
        <w:jc w:val="start"/>
        <w:rPr/>
      </w:pPr>
      <w:r>
        <w:rPr>
          <w:rFonts w:eastAsia="Times New Roman" w:cs="Times New Roman"/>
          <w:b/>
          <w:bCs/>
          <w:sz w:val="22"/>
          <w:szCs w:val="22"/>
        </w:rPr>
        <w:t>3.1.2 tool_id</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Category and tool number identifier (the [category.tool#] component of the variant ID).</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Decimal string in the form X.Y where X is the category number (1, 2, or 3) and Y is the tool number within that category.</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Tool IDs follow the framework category structure. 1.x = behavioural control tools, 2.x = informational/educational tools, 3.x = self-assessment tools. Tool IDs are stable across jurisdictions.</w:t>
            </w:r>
          </w:p>
        </w:tc>
      </w:tr>
    </w:tbl>
    <w:p>
      <w:pPr>
        <w:pStyle w:val="Normal"/>
        <w:spacing w:lineRule="auto" w:line="240" w:before="0" w:after="0"/>
        <w:rPr/>
      </w:pPr>
      <w:r>
        <w:rPr/>
      </w:r>
    </w:p>
    <w:p>
      <w:pPr>
        <w:pStyle w:val="Normal"/>
        <w:spacing w:lineRule="auto" w:line="240" w:before="160" w:after="80"/>
        <w:jc w:val="start"/>
        <w:rPr/>
      </w:pPr>
      <w:r>
        <w:rPr>
          <w:rFonts w:eastAsia="Times New Roman" w:cs="Times New Roman"/>
          <w:b/>
          <w:bCs/>
          <w:sz w:val="22"/>
          <w:szCs w:val="22"/>
        </w:rPr>
        <w:t>3.1.3 risk_level</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Risk tier at which this variant operates.</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Single value drawn from a controlled vocabulary.</w:t>
            </w:r>
          </w:p>
        </w:tc>
      </w:tr>
      <w:tr>
        <w:trPr/>
        <w:tc>
          <w:tcPr>
            <w:tcW w:w="2200" w:type="dxa"/>
            <w:tcBorders/>
          </w:tcPr>
          <w:p>
            <w:pPr>
              <w:pStyle w:val="Normal"/>
              <w:spacing w:lineRule="auto" w:line="240" w:before="0" w:after="0"/>
              <w:jc w:val="start"/>
              <w:rPr/>
            </w:pPr>
            <w:r>
              <w:rPr>
                <w:rFonts w:eastAsia="Times New Roman" w:cs="Times New Roman"/>
                <w:b/>
                <w:bCs/>
                <w:sz w:val="20"/>
                <w:szCs w:val="20"/>
              </w:rPr>
              <w:t>Controlled vocabulary</w:t>
            </w:r>
          </w:p>
        </w:tc>
        <w:tc>
          <w:tcPr>
            <w:tcW w:w="7438" w:type="dxa"/>
            <w:tcBorders/>
          </w:tcPr>
          <w:p>
            <w:pPr>
              <w:pStyle w:val="Normal"/>
              <w:spacing w:lineRule="auto" w:line="240" w:before="0" w:after="0"/>
              <w:jc w:val="start"/>
              <w:rPr/>
            </w:pPr>
            <w:r>
              <w:rPr>
                <w:rFonts w:eastAsia="Times New Roman" w:cs="Times New Roman"/>
                <w:sz w:val="20"/>
                <w:szCs w:val="20"/>
              </w:rPr>
              <w:t>low, medium, high, YA (the tool_variants sheet uses these values; the message_templates sheet uses 1, 2, 3, YA. These are equivalent).</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Risk tier is the primary unit of design: each tool is operationalised separately for low, medium, and high tiers. The Young Adult overlay (YA) applies independently of risk tier and supersedes standard tier configurations for players meeting the YA regulatory threshold. The UK architecture additionally uses YA_18 and YA_21 for the Loss Limit tool, reflecting age-band-specific thresholds in UK regulation.</w:t>
            </w:r>
          </w:p>
        </w:tc>
      </w:tr>
    </w:tbl>
    <w:p>
      <w:pPr>
        <w:pStyle w:val="Normal"/>
        <w:spacing w:lineRule="auto" w:line="240" w:before="0" w:after="0"/>
        <w:rPr/>
      </w:pPr>
      <w:r>
        <w:rPr/>
      </w:r>
    </w:p>
    <w:p>
      <w:pPr>
        <w:pStyle w:val="Normal"/>
        <w:spacing w:lineRule="auto" w:line="240" w:before="160" w:after="80"/>
        <w:jc w:val="start"/>
        <w:rPr/>
      </w:pPr>
      <w:r>
        <w:rPr>
          <w:rFonts w:eastAsia="Times New Roman" w:cs="Times New Roman"/>
          <w:b/>
          <w:bCs/>
          <w:sz w:val="22"/>
          <w:szCs w:val="22"/>
        </w:rPr>
        <w:t>3.1.4 variant_id</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Unique identifier for this variant (the full variant ID).</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Compound string in the form [JUR].PA.[tier].[M/O].[category.tool#].[variant#]: see Section 2.</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Each variant_id is unique across the architecture. Excluded variants retain their assigned IDs in the excluded_tools sheet.</w:t>
            </w:r>
          </w:p>
        </w:tc>
      </w:tr>
    </w:tbl>
    <w:p>
      <w:pPr>
        <w:pStyle w:val="Normal"/>
        <w:spacing w:lineRule="auto" w:line="240" w:before="0" w:after="0"/>
        <w:rPr/>
      </w:pPr>
      <w:r>
        <w:rPr/>
      </w:r>
    </w:p>
    <w:p>
      <w:pPr>
        <w:pStyle w:val="Normal"/>
        <w:spacing w:lineRule="auto" w:line="240" w:before="160" w:after="80"/>
        <w:jc w:val="start"/>
        <w:rPr/>
      </w:pPr>
      <w:r>
        <w:rPr>
          <w:rFonts w:eastAsia="Times New Roman" w:cs="Times New Roman"/>
          <w:b/>
          <w:bCs/>
          <w:sz w:val="22"/>
          <w:szCs w:val="22"/>
        </w:rPr>
        <w:t>3.1.5 specification_status</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whether the variant is fully specified for production deployment, or specified at design level but not built within the project’s timeline.</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Single value drawn from a controlled vocabulary.</w:t>
            </w:r>
          </w:p>
        </w:tc>
      </w:tr>
      <w:tr>
        <w:trPr/>
        <w:tc>
          <w:tcPr>
            <w:tcW w:w="2200" w:type="dxa"/>
            <w:tcBorders/>
          </w:tcPr>
          <w:p>
            <w:pPr>
              <w:pStyle w:val="Normal"/>
              <w:spacing w:lineRule="auto" w:line="240" w:before="0" w:after="0"/>
              <w:jc w:val="start"/>
              <w:rPr/>
            </w:pPr>
            <w:r>
              <w:rPr>
                <w:rFonts w:eastAsia="Times New Roman" w:cs="Times New Roman"/>
                <w:b/>
                <w:bCs/>
                <w:sz w:val="20"/>
                <w:szCs w:val="20"/>
              </w:rPr>
              <w:t>Controlled vocabulary</w:t>
            </w:r>
          </w:p>
        </w:tc>
        <w:tc>
          <w:tcPr>
            <w:tcW w:w="7438" w:type="dxa"/>
            <w:tcBorders/>
          </w:tcPr>
          <w:p>
            <w:pPr>
              <w:pStyle w:val="Normal"/>
              <w:spacing w:lineRule="auto" w:line="240" w:before="0" w:after="0"/>
              <w:jc w:val="start"/>
              <w:rPr/>
            </w:pPr>
            <w:r>
              <w:rPr>
                <w:rFonts w:eastAsia="Times New Roman" w:cs="Times New Roman"/>
                <w:sz w:val="20"/>
                <w:szCs w:val="20"/>
              </w:rPr>
              <w:t>fully_specified, specified_not_built</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Variants marked fully_specified (reported in the main manuscript as operationally complete) have a complete operational specification: design parameters set, message copy developed (where applicable), policy rules in place. Variants marked specified_not_built (specified but not built) have a complete operational specification but were not built within the project timeline (e.g., Cheat Sheet variants in both architectures). UK distribution: 69 fully_specified (73.4%), 25 specified_not_built (26.6%). NL distribution: 72 fully_specified (82.8%), 15 specified_not_built (17.2%).</w:t>
            </w:r>
          </w:p>
        </w:tc>
      </w:tr>
    </w:tbl>
    <w:p>
      <w:pPr>
        <w:pStyle w:val="Normal"/>
        <w:spacing w:lineRule="auto" w:line="240" w:before="0" w:after="0"/>
        <w:rPr/>
      </w:pPr>
      <w:r>
        <w:rPr/>
      </w:r>
    </w:p>
    <w:p>
      <w:pPr>
        <w:pStyle w:val="Normal"/>
        <w:spacing w:lineRule="auto" w:line="240" w:before="160" w:after="80"/>
        <w:jc w:val="start"/>
        <w:rPr/>
      </w:pPr>
      <w:r>
        <w:rPr>
          <w:rFonts w:eastAsia="Times New Roman" w:cs="Times New Roman"/>
          <w:b/>
          <w:bCs/>
          <w:sz w:val="22"/>
          <w:szCs w:val="22"/>
        </w:rPr>
        <w:t>3.1.6 content_type</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the messaging content format for this variant.</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Single value drawn from a controlled vocabulary.</w:t>
            </w:r>
          </w:p>
        </w:tc>
      </w:tr>
      <w:tr>
        <w:trPr/>
        <w:tc>
          <w:tcPr>
            <w:tcW w:w="2200" w:type="dxa"/>
            <w:tcBorders/>
          </w:tcPr>
          <w:p>
            <w:pPr>
              <w:pStyle w:val="Normal"/>
              <w:spacing w:lineRule="auto" w:line="240" w:before="0" w:after="0"/>
              <w:jc w:val="start"/>
              <w:rPr/>
            </w:pPr>
            <w:r>
              <w:rPr>
                <w:rFonts w:eastAsia="Times New Roman" w:cs="Times New Roman"/>
                <w:b/>
                <w:bCs/>
                <w:sz w:val="20"/>
                <w:szCs w:val="20"/>
              </w:rPr>
              <w:t>Controlled vocabulary</w:t>
            </w:r>
          </w:p>
        </w:tc>
        <w:tc>
          <w:tcPr>
            <w:tcW w:w="7438" w:type="dxa"/>
            <w:tcBorders/>
          </w:tcPr>
          <w:p>
            <w:pPr>
              <w:pStyle w:val="Normal"/>
              <w:spacing w:lineRule="auto" w:line="240" w:before="0" w:after="0"/>
              <w:jc w:val="start"/>
              <w:rPr/>
            </w:pPr>
            <w:r>
              <w:rPr>
                <w:rFonts w:eastAsia="Times New Roman" w:cs="Times New Roman"/>
                <w:sz w:val="20"/>
                <w:szCs w:val="20"/>
              </w:rPr>
              <w:t>PPF, EPF, unified, cognitive_distractor_1, cognitive_distractor_2</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PPF (Personalised Player Feedback) tailors feedback to the individual player’s data: a player’s own deposit amounts, time-on-site, or limit values are interpolated into messaging copy. EPF (Enhanced Player Feedback) builds on PPF by integrating algorithmic system-derived data (behavioural risk score, normative comparison). At R3 (high risk), the PPF/EPF split collapses into a single ‘unified’ content type, reflecting an operational simplification: high-risk-tier messaging uses standardised wording rather than personalised variation. cognitive_distractor_1 and cognitive_distractor_2 are content variants used only in the Session Cooldown tool, where a non-gambling distractor task is embedded in the break interface.</w:t>
            </w:r>
          </w:p>
        </w:tc>
      </w:tr>
    </w:tbl>
    <w:p>
      <w:pPr>
        <w:pStyle w:val="Normal"/>
        <w:spacing w:lineRule="auto" w:line="240" w:before="0" w:after="0"/>
        <w:rPr/>
      </w:pPr>
      <w:r>
        <w:rPr/>
      </w:r>
    </w:p>
    <w:p>
      <w:pPr>
        <w:pStyle w:val="Normal"/>
        <w:spacing w:lineRule="auto" w:line="240" w:before="160" w:after="80"/>
        <w:jc w:val="start"/>
        <w:rPr/>
      </w:pPr>
      <w:r>
        <w:rPr>
          <w:rFonts w:eastAsia="Times New Roman" w:cs="Times New Roman"/>
          <w:b/>
          <w:bCs/>
          <w:sz w:val="22"/>
          <w:szCs w:val="22"/>
        </w:rPr>
        <w:t>3.1.7 threshold_enabled</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whether this variant fires on a threshold-based trigger.</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Boolean (True/False or 1/0).</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When True, the variant fires when the player crosses a defined threshold (typically a percentage of their set limit). When False, the variant fires on a different trigger logic specified in the policy_rules sheet (e.g., user action, registration, scheduled event). The most common threshold is 0.8 (80% of the player’s set cap), used for spend-elapsed and time-elapsed pop-ups.</w:t>
            </w:r>
          </w:p>
        </w:tc>
      </w:tr>
    </w:tbl>
    <w:p>
      <w:pPr>
        <w:pStyle w:val="Normal"/>
        <w:spacing w:lineRule="auto" w:line="240" w:before="0" w:after="0"/>
        <w:rPr/>
      </w:pPr>
      <w:r>
        <w:rPr/>
      </w:r>
    </w:p>
    <w:p>
      <w:pPr>
        <w:pStyle w:val="Normal"/>
        <w:spacing w:lineRule="auto" w:line="240" w:before="160" w:after="80"/>
        <w:jc w:val="start"/>
        <w:rPr/>
      </w:pPr>
      <w:r>
        <w:rPr>
          <w:rFonts w:eastAsia="Times New Roman" w:cs="Times New Roman"/>
          <w:b/>
          <w:bCs/>
          <w:sz w:val="22"/>
          <w:szCs w:val="22"/>
        </w:rPr>
        <w:t>3.1.8 threshold_level</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The threshold value at which a threshold-enabled variant fires.</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Numeric (typically 0.25 or 0.8) or text (where threshold is non-numeric, e.g., player_defined or system_1.5x).</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Threshold values are typically set at 0.8 (80% of cap) for warning-stage messaging and 1.0 (100%) for breach-stage messaging. Text values appear where the threshold is set by another mechanism rather than a fixed percentage; in those cases, the relevant policy_rules entry specifies how the threshold is determined.</w:t>
            </w:r>
          </w:p>
        </w:tc>
      </w:tr>
    </w:tbl>
    <w:p>
      <w:pPr>
        <w:pStyle w:val="Normal"/>
        <w:spacing w:lineRule="auto" w:line="240" w:before="0" w:after="0"/>
        <w:rPr/>
      </w:pPr>
      <w:r>
        <w:rPr/>
      </w:r>
    </w:p>
    <w:p>
      <w:pPr>
        <w:pStyle w:val="Normal"/>
        <w:spacing w:lineRule="auto" w:line="240" w:before="160" w:after="80"/>
        <w:jc w:val="start"/>
        <w:rPr/>
      </w:pPr>
      <w:r>
        <w:rPr>
          <w:rFonts w:eastAsia="Times New Roman" w:cs="Times New Roman"/>
          <w:b/>
          <w:bCs/>
          <w:sz w:val="22"/>
          <w:szCs w:val="22"/>
        </w:rPr>
        <w:t>3.1.9 limit_set_mode</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how the variant’s parameter values are set.</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Single value drawn from a controlled vocabulary.</w:t>
            </w:r>
          </w:p>
        </w:tc>
      </w:tr>
      <w:tr>
        <w:trPr/>
        <w:tc>
          <w:tcPr>
            <w:tcW w:w="2200" w:type="dxa"/>
            <w:tcBorders/>
          </w:tcPr>
          <w:p>
            <w:pPr>
              <w:pStyle w:val="Normal"/>
              <w:spacing w:lineRule="auto" w:line="240" w:before="0" w:after="0"/>
              <w:jc w:val="start"/>
              <w:rPr/>
            </w:pPr>
            <w:r>
              <w:rPr>
                <w:rFonts w:eastAsia="Times New Roman" w:cs="Times New Roman"/>
                <w:b/>
                <w:bCs/>
                <w:sz w:val="20"/>
                <w:szCs w:val="20"/>
              </w:rPr>
              <w:t>Controlled vocabulary (UK uses 10 distinct modes; NL uses 3)</w:t>
            </w:r>
          </w:p>
        </w:tc>
        <w:tc>
          <w:tcPr>
            <w:tcW w:w="7438" w:type="dxa"/>
            <w:tcBorders/>
          </w:tcPr>
          <w:p>
            <w:pPr>
              <w:pStyle w:val="Normal"/>
              <w:spacing w:lineRule="auto" w:line="240" w:before="0" w:after="0"/>
              <w:jc w:val="start"/>
              <w:rPr/>
            </w:pPr>
            <w:r>
              <w:rPr>
                <w:rFonts w:eastAsia="Times New Roman" w:cs="Times New Roman"/>
                <w:sz w:val="20"/>
                <w:szCs w:val="20"/>
              </w:rPr>
              <w:t>player_defined; player_defined_required; player_choice; player_choice_15_30_45_60min; player_elected_1_2_3hr_interval; player_elected_30_60CD; player_elected_30_60_90CD; system_1.5x; system_1.5x_daily; system_enforced</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player_defined and player_defined_required give the player full control of the limit value within regulatory bounds; the latter requires the player to set a value before play (used where regulation mandates limit-setting at registration). player_elected and player_choice variants offer the player a constrained selection (e.g., 1, 2, or 3-hour intervals). system_1.5x is an adaptive system-set limit at 1.5x the player’s recent average activity; system_1.5x_daily applies the same logic to a daily window. system_enforced applies a non-negotiable system-set value. The UK architecture exposes 10 distinct modes; the NL architecture exposes 3, reflecting KOA 2021’s prescription that limits be either player-defined or system-set at a specified multiplier.</w:t>
            </w:r>
          </w:p>
        </w:tc>
      </w:tr>
    </w:tbl>
    <w:p>
      <w:pPr>
        <w:pStyle w:val="Normal"/>
        <w:spacing w:lineRule="auto" w:line="240" w:before="0" w:after="0"/>
        <w:rPr/>
      </w:pPr>
      <w:r>
        <w:rPr/>
      </w:r>
    </w:p>
    <w:p>
      <w:pPr>
        <w:pStyle w:val="Normal"/>
        <w:spacing w:lineRule="auto" w:line="240" w:before="160" w:after="80"/>
        <w:jc w:val="start"/>
        <w:rPr/>
      </w:pPr>
      <w:r>
        <w:rPr>
          <w:rFonts w:eastAsia="Times New Roman" w:cs="Times New Roman"/>
          <w:b/>
          <w:bCs/>
          <w:sz w:val="22"/>
          <w:szCs w:val="22"/>
        </w:rPr>
        <w:t>3.1.10 increase, decrease, cooldown_h</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Together specify the asymmetric increase/decrease flow for the variant.</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increase and decrease: Boolean (True/False, indicating whether the player can request an increase or decrease respectively). cooldown_h: numeric value indicating the mandatory delay (in hours) before an increase request takes effect.</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Across both architectures, decrease is uniformly True with immediate effect: players can always reduce limits without delay. increase is variable: typically True at R1 and R2 with a tier-specific cooldown, and False or strictly delayed at R3 (high risk). UK uses 6 distinct cooldown values (24h, 48h, none, disable_24h, disable_24h_daily_168h_weekly, and cannot-disable at R3); NL uniformly applies 168h across all tiers, reflecting the KOA 2021 mandate. This asymmetric structure (decreases easy, increases gated) operationalises the framework’s Reversibility dimension; the tier-specific tightening operationalises the framework’s adaptive design principle.</w:t>
            </w:r>
          </w:p>
        </w:tc>
      </w:tr>
    </w:tbl>
    <w:p>
      <w:pPr>
        <w:pStyle w:val="Normal"/>
        <w:spacing w:lineRule="auto" w:line="240" w:before="0" w:after="0"/>
        <w:rPr/>
      </w:pPr>
      <w:r>
        <w:rPr/>
      </w:r>
    </w:p>
    <w:p>
      <w:pPr>
        <w:pStyle w:val="Normal"/>
        <w:spacing w:lineRule="auto" w:line="240" w:before="280" w:after="120"/>
        <w:jc w:val="start"/>
        <w:rPr/>
      </w:pPr>
      <w:r>
        <w:rPr>
          <w:rFonts w:eastAsia="Times New Roman" w:cs="Times New Roman"/>
          <w:b/>
          <w:bCs/>
          <w:sz w:val="24"/>
          <w:szCs w:val="24"/>
        </w:rPr>
        <w:t>4. excluded_tools sheet</w:t>
      </w:r>
    </w:p>
    <w:p>
      <w:pPr>
        <w:pStyle w:val="Normal"/>
        <w:spacing w:lineRule="auto" w:line="240" w:before="0" w:after="120"/>
        <w:jc w:val="both"/>
        <w:rPr/>
      </w:pPr>
      <w:r>
        <w:rPr>
          <w:rFonts w:eastAsia="Times New Roman" w:cs="Times New Roman"/>
          <w:sz w:val="24"/>
          <w:szCs w:val="24"/>
        </w:rPr>
        <w:t>Documents tools considered during Stage 3 selection but not built. Each excluded variant is recorded with its full design specification preserved (the variant could be deployed if the exclusion reason is removed) plus a documented exclusion class and reason.</w:t>
      </w:r>
    </w:p>
    <w:p>
      <w:pPr>
        <w:pStyle w:val="Normal"/>
        <w:spacing w:lineRule="auto" w:line="240" w:before="200" w:after="100"/>
        <w:jc w:val="start"/>
        <w:rPr/>
      </w:pPr>
      <w:r>
        <w:rPr>
          <w:rFonts w:eastAsia="Times New Roman" w:cs="Times New Roman"/>
          <w:b/>
          <w:bCs/>
          <w:i/>
          <w:iCs/>
          <w:sz w:val="24"/>
          <w:szCs w:val="24"/>
        </w:rPr>
        <w:t>4.1 Columns</w:t>
      </w:r>
    </w:p>
    <w:p>
      <w:pPr>
        <w:pStyle w:val="Normal"/>
        <w:spacing w:lineRule="auto" w:line="240" w:before="160" w:after="80"/>
        <w:jc w:val="start"/>
        <w:rPr/>
      </w:pPr>
      <w:r>
        <w:rPr>
          <w:rFonts w:eastAsia="Times New Roman" w:cs="Times New Roman"/>
          <w:b/>
          <w:bCs/>
          <w:sz w:val="22"/>
          <w:szCs w:val="22"/>
        </w:rPr>
        <w:t>4.1.1 tool_code</w:t>
      </w:r>
    </w:p>
    <w:p>
      <w:pPr>
        <w:pStyle w:val="Normal"/>
        <w:spacing w:lineRule="auto" w:line="240" w:before="0" w:after="120"/>
        <w:jc w:val="both"/>
        <w:rPr/>
      </w:pPr>
      <w:r>
        <w:rPr>
          <w:rFonts w:eastAsia="Times New Roman" w:cs="Times New Roman"/>
          <w:sz w:val="24"/>
          <w:szCs w:val="24"/>
        </w:rPr>
        <w:t>The full variant ID assigned to the excluded variant. Excluded variants retain their IDs to preserve the audit trail of Stage 3 selection.</w:t>
      </w:r>
    </w:p>
    <w:p>
      <w:pPr>
        <w:pStyle w:val="Normal"/>
        <w:spacing w:lineRule="auto" w:line="240" w:before="160" w:after="80"/>
        <w:jc w:val="start"/>
        <w:rPr/>
      </w:pPr>
      <w:r>
        <w:rPr>
          <w:rFonts w:eastAsia="Times New Roman" w:cs="Times New Roman"/>
          <w:b/>
          <w:bCs/>
          <w:sz w:val="22"/>
          <w:szCs w:val="22"/>
        </w:rPr>
        <w:t>4.1.2 tool_name, category_id, risk_level</w:t>
      </w:r>
    </w:p>
    <w:p>
      <w:pPr>
        <w:pStyle w:val="Normal"/>
        <w:spacing w:lineRule="auto" w:line="240" w:before="0" w:after="120"/>
        <w:jc w:val="both"/>
        <w:rPr/>
      </w:pPr>
      <w:r>
        <w:rPr>
          <w:rFonts w:eastAsia="Times New Roman" w:cs="Times New Roman"/>
          <w:sz w:val="24"/>
          <w:szCs w:val="24"/>
        </w:rPr>
        <w:t>Same definitions as in tool_variants (Section 3). These fields document what the excluded tool would have been if built.</w:t>
      </w:r>
    </w:p>
    <w:p>
      <w:pPr>
        <w:pStyle w:val="Normal"/>
        <w:spacing w:lineRule="auto" w:line="240" w:before="160" w:after="80"/>
        <w:jc w:val="start"/>
        <w:rPr/>
      </w:pPr>
      <w:r>
        <w:rPr>
          <w:rFonts w:eastAsia="Times New Roman" w:cs="Times New Roman"/>
          <w:b/>
          <w:bCs/>
          <w:sz w:val="22"/>
          <w:szCs w:val="22"/>
        </w:rPr>
        <w:t>4.1.3 exclusion_class</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Categorical reason for exclusion.</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Single value drawn from a controlled vocabulary.</w:t>
            </w:r>
          </w:p>
        </w:tc>
      </w:tr>
      <w:tr>
        <w:trPr/>
        <w:tc>
          <w:tcPr>
            <w:tcW w:w="2200" w:type="dxa"/>
            <w:tcBorders/>
          </w:tcPr>
          <w:p>
            <w:pPr>
              <w:pStyle w:val="Normal"/>
              <w:spacing w:lineRule="auto" w:line="240" w:before="0" w:after="0"/>
              <w:jc w:val="start"/>
              <w:rPr/>
            </w:pPr>
            <w:r>
              <w:rPr>
                <w:rFonts w:eastAsia="Times New Roman" w:cs="Times New Roman"/>
                <w:b/>
                <w:bCs/>
                <w:sz w:val="20"/>
                <w:szCs w:val="20"/>
              </w:rPr>
              <w:t>Controlled vocabulary</w:t>
            </w:r>
          </w:p>
        </w:tc>
        <w:tc>
          <w:tcPr>
            <w:tcW w:w="7438" w:type="dxa"/>
            <w:tcBorders/>
          </w:tcPr>
          <w:p>
            <w:pPr>
              <w:pStyle w:val="Normal"/>
              <w:spacing w:lineRule="auto" w:line="240" w:before="0" w:after="0"/>
              <w:jc w:val="start"/>
              <w:rPr/>
            </w:pPr>
            <w:r>
              <w:rPr>
                <w:rFonts w:eastAsia="Times New Roman" w:cs="Times New Roman"/>
                <w:sz w:val="20"/>
                <w:szCs w:val="20"/>
              </w:rPr>
              <w:t>regulatory, operator, technical, evidence</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regulatory: the tool is excluded because regulation either prohibits it outright or already provides equivalent protection (NL examples: Bonus Ban and Promo Ban excluded under KOA 2021 promotional restrictions). operator: the tool is excluded due to operator-specific business decisions (no current examples in either architecture). technical: the tool is excluded because of infrastructure constraints (UK example: AWL excluded because UK banking infrastructure does not support the required automatic-debit operation). evidence: the tool is excluded because the evidence base did not support inclusion at acceptable confidence (no current examples in either architecture).</w:t>
            </w:r>
          </w:p>
        </w:tc>
      </w:tr>
    </w:tbl>
    <w:p>
      <w:pPr>
        <w:pStyle w:val="Normal"/>
        <w:spacing w:lineRule="auto" w:line="240" w:before="0" w:after="0"/>
        <w:rPr/>
      </w:pPr>
      <w:r>
        <w:rPr/>
      </w:r>
    </w:p>
    <w:p>
      <w:pPr>
        <w:pStyle w:val="Normal"/>
        <w:spacing w:lineRule="auto" w:line="240" w:before="160" w:after="80"/>
        <w:jc w:val="start"/>
        <w:rPr/>
      </w:pPr>
      <w:r>
        <w:rPr>
          <w:rFonts w:eastAsia="Times New Roman" w:cs="Times New Roman"/>
          <w:b/>
          <w:bCs/>
          <w:sz w:val="22"/>
          <w:szCs w:val="22"/>
        </w:rPr>
        <w:t>4.1.4 exclusion_reason</w:t>
      </w:r>
    </w:p>
    <w:p>
      <w:pPr>
        <w:pStyle w:val="Normal"/>
        <w:spacing w:lineRule="auto" w:line="240" w:before="0" w:after="120"/>
        <w:jc w:val="both"/>
        <w:rPr/>
      </w:pPr>
      <w:r>
        <w:rPr>
          <w:rFonts w:eastAsia="Times New Roman" w:cs="Times New Roman"/>
          <w:sz w:val="24"/>
          <w:szCs w:val="24"/>
        </w:rPr>
        <w:t>Free-text description of the specific exclusion rationale, citing the regulatory provision, technical limitation, or operator policy that drives the exclusion. Sufficiently detailed that the rationale can be evaluated without consulting external sources.</w:t>
      </w:r>
    </w:p>
    <w:p>
      <w:pPr>
        <w:pStyle w:val="Normal"/>
        <w:spacing w:lineRule="auto" w:line="240" w:before="160" w:after="80"/>
        <w:jc w:val="start"/>
        <w:rPr/>
      </w:pPr>
      <w:r>
        <w:rPr>
          <w:rFonts w:eastAsia="Times New Roman" w:cs="Times New Roman"/>
          <w:b/>
          <w:bCs/>
          <w:sz w:val="22"/>
          <w:szCs w:val="22"/>
        </w:rPr>
        <w:t>4.1.5 specification_status</w:t>
      </w:r>
    </w:p>
    <w:p>
      <w:pPr>
        <w:pStyle w:val="Normal"/>
        <w:spacing w:lineRule="auto" w:line="240" w:before="0" w:after="120"/>
        <w:jc w:val="both"/>
        <w:rPr/>
      </w:pPr>
      <w:r>
        <w:rPr>
          <w:rFonts w:eastAsia="Times New Roman" w:cs="Times New Roman"/>
          <w:sz w:val="24"/>
          <w:szCs w:val="24"/>
        </w:rPr>
        <w:t>All excluded variants are coded specified_not_built. The specification work was completed (the variant could be deployed if the exclusion reason were removed); only the build step did not proceed.</w:t>
      </w:r>
    </w:p>
    <w:p>
      <w:pPr>
        <w:pStyle w:val="Normal"/>
        <w:spacing w:lineRule="auto" w:line="240" w:before="160" w:after="80"/>
        <w:jc w:val="start"/>
        <w:rPr/>
      </w:pPr>
      <w:r>
        <w:rPr>
          <w:rFonts w:eastAsia="Times New Roman" w:cs="Times New Roman"/>
          <w:b/>
          <w:bCs/>
          <w:sz w:val="22"/>
          <w:szCs w:val="22"/>
        </w:rPr>
        <w:t>4.1.6 notes</w:t>
      </w:r>
    </w:p>
    <w:p>
      <w:pPr>
        <w:pStyle w:val="Normal"/>
        <w:spacing w:lineRule="auto" w:line="240" w:before="0" w:after="120"/>
        <w:jc w:val="both"/>
        <w:rPr/>
      </w:pPr>
      <w:r>
        <w:rPr>
          <w:rFonts w:eastAsia="Times New Roman" w:cs="Times New Roman"/>
          <w:sz w:val="24"/>
          <w:szCs w:val="24"/>
        </w:rPr>
        <w:t>Free-text supplementary notes, typically clarifying the specific configuration of the variant (e.g., ‘R1 v1 PPF: Mandatory; trigger per refresh event’) and the relationship to its counterpart in the other jurisdiction’s architecture.</w:t>
      </w:r>
    </w:p>
    <w:p>
      <w:pPr>
        <w:pStyle w:val="Normal"/>
        <w:spacing w:lineRule="auto" w:line="240" w:before="200" w:after="100"/>
        <w:jc w:val="start"/>
        <w:rPr/>
      </w:pPr>
      <w:r>
        <w:rPr>
          <w:rFonts w:eastAsia="Times New Roman" w:cs="Times New Roman"/>
          <w:b/>
          <w:bCs/>
          <w:i/>
          <w:iCs/>
          <w:sz w:val="24"/>
          <w:szCs w:val="24"/>
        </w:rPr>
        <w:t>4.2 Cross-architecture pattern</w:t>
      </w:r>
    </w:p>
    <w:p>
      <w:pPr>
        <w:pStyle w:val="Normal"/>
        <w:spacing w:lineRule="auto" w:line="240" w:before="0" w:after="120"/>
        <w:jc w:val="both"/>
        <w:rPr/>
      </w:pPr>
      <w:r>
        <w:rPr>
          <w:rFonts w:eastAsia="Times New Roman" w:cs="Times New Roman"/>
          <w:sz w:val="24"/>
          <w:szCs w:val="24"/>
        </w:rPr>
        <w:t>The UK architecture excludes 1 tool (AWL) under technical class, generating 6 excluded variants. The NL architecture excludes 2 tools (Bonus Ban, Promo Ban) under regulatory class, generating 12 excluded variants. The four-class exclusion framework is illustrated by these two patterns: the NL regulator removes tools by superseding them, while UK infrastructure removes tools by being unable to support them.</w:t>
      </w:r>
    </w:p>
    <w:p>
      <w:pPr>
        <w:pStyle w:val="Normal"/>
        <w:spacing w:lineRule="auto" w:line="240" w:before="280" w:after="120"/>
        <w:jc w:val="start"/>
        <w:rPr/>
      </w:pPr>
      <w:r>
        <w:rPr>
          <w:rFonts w:eastAsia="Times New Roman" w:cs="Times New Roman"/>
          <w:b/>
          <w:bCs/>
          <w:sz w:val="24"/>
          <w:szCs w:val="24"/>
        </w:rPr>
        <w:t>5. policy_rules sheet</w:t>
      </w:r>
    </w:p>
    <w:p>
      <w:pPr>
        <w:pStyle w:val="Normal"/>
        <w:spacing w:lineRule="auto" w:line="240" w:before="0" w:after="120"/>
        <w:jc w:val="both"/>
        <w:rPr/>
      </w:pPr>
      <w:r>
        <w:rPr>
          <w:rFonts w:eastAsia="Times New Roman" w:cs="Times New Roman"/>
          <w:sz w:val="24"/>
          <w:szCs w:val="24"/>
        </w:rPr>
        <w:t>System-level rules governing tool delivery within the architecture. Each row specifies one rule with its source, scope, and value. Rules are organised into thematic sections; the UK architecture has 78 rules across 10 sections, the NL architecture has 133 rules across 12 sections.</w:t>
      </w:r>
    </w:p>
    <w:p>
      <w:pPr>
        <w:pStyle w:val="Normal"/>
        <w:spacing w:lineRule="auto" w:line="240" w:before="200" w:after="100"/>
        <w:jc w:val="start"/>
        <w:rPr/>
      </w:pPr>
      <w:r>
        <w:rPr>
          <w:rFonts w:eastAsia="Times New Roman" w:cs="Times New Roman"/>
          <w:b/>
          <w:bCs/>
          <w:i/>
          <w:iCs/>
          <w:sz w:val="24"/>
          <w:szCs w:val="24"/>
        </w:rPr>
        <w:t>5.1 Columns</w:t>
      </w:r>
    </w:p>
    <w:p>
      <w:pPr>
        <w:pStyle w:val="Normal"/>
        <w:spacing w:lineRule="auto" w:line="240" w:before="160" w:after="80"/>
        <w:jc w:val="start"/>
        <w:rPr/>
      </w:pPr>
      <w:r>
        <w:rPr>
          <w:rFonts w:eastAsia="Times New Roman" w:cs="Times New Roman"/>
          <w:b/>
          <w:bCs/>
          <w:sz w:val="22"/>
          <w:szCs w:val="22"/>
        </w:rPr>
        <w:t>5.1.1 rule_id</w:t>
      </w:r>
    </w:p>
    <w:p>
      <w:pPr>
        <w:pStyle w:val="Normal"/>
        <w:spacing w:lineRule="auto" w:line="240" w:before="0" w:after="120"/>
        <w:jc w:val="both"/>
        <w:rPr/>
      </w:pPr>
      <w:r>
        <w:rPr>
          <w:rFonts w:eastAsia="Times New Roman" w:cs="Times New Roman"/>
          <w:sz w:val="24"/>
          <w:szCs w:val="24"/>
        </w:rPr>
        <w:t>Compound identifier in the form SECTION_NNN (e.g., SCOPE_001, COOLDOWN_004). Stable across jurisdictions where the rule’s logical position is the same.</w:t>
      </w:r>
    </w:p>
    <w:p>
      <w:pPr>
        <w:pStyle w:val="Normal"/>
        <w:spacing w:lineRule="auto" w:line="240" w:before="160" w:after="80"/>
        <w:jc w:val="start"/>
        <w:rPr/>
      </w:pPr>
      <w:r>
        <w:rPr>
          <w:rFonts w:eastAsia="Times New Roman" w:cs="Times New Roman"/>
          <w:b/>
          <w:bCs/>
          <w:sz w:val="22"/>
          <w:szCs w:val="22"/>
        </w:rPr>
        <w:t>5.1.2 tool</w:t>
      </w:r>
    </w:p>
    <w:p>
      <w:pPr>
        <w:pStyle w:val="Normal"/>
        <w:spacing w:lineRule="auto" w:line="240" w:before="0" w:after="120"/>
        <w:jc w:val="both"/>
        <w:rPr/>
      </w:pPr>
      <w:r>
        <w:rPr>
          <w:rFonts w:eastAsia="Times New Roman" w:cs="Times New Roman"/>
          <w:sz w:val="24"/>
          <w:szCs w:val="24"/>
        </w:rPr>
        <w:t>Canonical tool name to which the rule applies, or ‘all’ for cross-tool rules.</w:t>
      </w:r>
    </w:p>
    <w:p>
      <w:pPr>
        <w:pStyle w:val="Normal"/>
        <w:spacing w:lineRule="auto" w:line="240" w:before="160" w:after="80"/>
        <w:jc w:val="start"/>
        <w:rPr/>
      </w:pPr>
      <w:r>
        <w:rPr>
          <w:rFonts w:eastAsia="Times New Roman" w:cs="Times New Roman"/>
          <w:b/>
          <w:bCs/>
          <w:sz w:val="22"/>
          <w:szCs w:val="22"/>
        </w:rPr>
        <w:t>5.1.3 tier</w:t>
      </w:r>
    </w:p>
    <w:p>
      <w:pPr>
        <w:pStyle w:val="Normal"/>
        <w:spacing w:lineRule="auto" w:line="240" w:before="0" w:after="120"/>
        <w:jc w:val="both"/>
        <w:rPr/>
      </w:pPr>
      <w:r>
        <w:rPr>
          <w:rFonts w:eastAsia="Times New Roman" w:cs="Times New Roman"/>
          <w:sz w:val="24"/>
          <w:szCs w:val="24"/>
        </w:rPr>
        <w:t>Risk tier(s) to which the rule applies. Values: all, R1, R2, R3, R2/R3, YA, YA (under 24).</w:t>
      </w:r>
    </w:p>
    <w:p>
      <w:pPr>
        <w:pStyle w:val="Normal"/>
        <w:spacing w:lineRule="auto" w:line="240" w:before="160" w:after="80"/>
        <w:jc w:val="start"/>
        <w:rPr/>
      </w:pPr>
      <w:r>
        <w:rPr>
          <w:rFonts w:eastAsia="Times New Roman" w:cs="Times New Roman"/>
          <w:b/>
          <w:bCs/>
          <w:sz w:val="22"/>
          <w:szCs w:val="22"/>
        </w:rPr>
        <w:t>5.1.4 rule_name</w:t>
      </w:r>
    </w:p>
    <w:p>
      <w:pPr>
        <w:pStyle w:val="Normal"/>
        <w:spacing w:lineRule="auto" w:line="240" w:before="0" w:after="120"/>
        <w:jc w:val="both"/>
        <w:rPr/>
      </w:pPr>
      <w:r>
        <w:rPr>
          <w:rFonts w:eastAsia="Times New Roman" w:cs="Times New Roman"/>
          <w:sz w:val="24"/>
          <w:szCs w:val="24"/>
        </w:rPr>
        <w:t>Short label identifying the rule within its section (e.g., Assignment, Threshold, Cooldown, Tailoring formula).</w:t>
      </w:r>
    </w:p>
    <w:p>
      <w:pPr>
        <w:pStyle w:val="Normal"/>
        <w:spacing w:lineRule="auto" w:line="240" w:before="160" w:after="80"/>
        <w:jc w:val="start"/>
        <w:rPr/>
      </w:pPr>
      <w:r>
        <w:rPr>
          <w:rFonts w:eastAsia="Times New Roman" w:cs="Times New Roman"/>
          <w:b/>
          <w:bCs/>
          <w:sz w:val="22"/>
          <w:szCs w:val="22"/>
        </w:rPr>
        <w:t>5.1.5 description</w:t>
      </w:r>
    </w:p>
    <w:p>
      <w:pPr>
        <w:pStyle w:val="Normal"/>
        <w:spacing w:lineRule="auto" w:line="240" w:before="0" w:after="120"/>
        <w:jc w:val="both"/>
        <w:rPr/>
      </w:pPr>
      <w:r>
        <w:rPr>
          <w:rFonts w:eastAsia="Times New Roman" w:cs="Times New Roman"/>
          <w:sz w:val="24"/>
          <w:szCs w:val="24"/>
        </w:rPr>
        <w:t>Free-text description of the rule. For tailoring formulae, this includes the mathematical specification used at run-time.</w:t>
      </w:r>
    </w:p>
    <w:p>
      <w:pPr>
        <w:pStyle w:val="Normal"/>
        <w:spacing w:lineRule="auto" w:line="240" w:before="160" w:after="80"/>
        <w:jc w:val="start"/>
        <w:rPr/>
      </w:pPr>
      <w:r>
        <w:rPr>
          <w:rFonts w:eastAsia="Times New Roman" w:cs="Times New Roman"/>
          <w:b/>
          <w:bCs/>
          <w:sz w:val="22"/>
          <w:szCs w:val="22"/>
        </w:rPr>
        <w:t>5.1.6 value</w:t>
      </w:r>
    </w:p>
    <w:p>
      <w:pPr>
        <w:pStyle w:val="Normal"/>
        <w:spacing w:lineRule="auto" w:line="240" w:before="0" w:after="120"/>
        <w:jc w:val="both"/>
        <w:rPr/>
      </w:pPr>
      <w:r>
        <w:rPr>
          <w:rFonts w:eastAsia="Times New Roman" w:cs="Times New Roman"/>
          <w:sz w:val="24"/>
          <w:szCs w:val="24"/>
        </w:rPr>
        <w:t>The rule’s resolved value. For Boolean rules: True/False. For numeric rules: the numeric value (e.g., 168 for cooldown hours). For categorical rules: the controlled-vocabulary value (e.g., Mandatory). For formula-based rules: the formula expression.</w:t>
      </w:r>
    </w:p>
    <w:p>
      <w:pPr>
        <w:pStyle w:val="Normal"/>
        <w:spacing w:lineRule="auto" w:line="240" w:before="160" w:after="80"/>
        <w:jc w:val="start"/>
        <w:rPr/>
      </w:pPr>
      <w:r>
        <w:rPr>
          <w:rFonts w:eastAsia="Times New Roman" w:cs="Times New Roman"/>
          <w:b/>
          <w:bCs/>
          <w:sz w:val="22"/>
          <w:szCs w:val="22"/>
        </w:rPr>
        <w:t>5.1.7 status</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whether the rule has been confirmed by the operator or is awaiting sign-off.</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Single value drawn from a controlled vocabulary.</w:t>
            </w:r>
          </w:p>
        </w:tc>
      </w:tr>
      <w:tr>
        <w:trPr/>
        <w:tc>
          <w:tcPr>
            <w:tcW w:w="2200" w:type="dxa"/>
            <w:tcBorders/>
          </w:tcPr>
          <w:p>
            <w:pPr>
              <w:pStyle w:val="Normal"/>
              <w:spacing w:lineRule="auto" w:line="240" w:before="0" w:after="0"/>
              <w:jc w:val="start"/>
              <w:rPr/>
            </w:pPr>
            <w:r>
              <w:rPr>
                <w:rFonts w:eastAsia="Times New Roman" w:cs="Times New Roman"/>
                <w:b/>
                <w:bCs/>
                <w:sz w:val="20"/>
                <w:szCs w:val="20"/>
              </w:rPr>
              <w:t>Controlled vocabulary</w:t>
            </w:r>
          </w:p>
        </w:tc>
        <w:tc>
          <w:tcPr>
            <w:tcW w:w="7438" w:type="dxa"/>
            <w:tcBorders/>
          </w:tcPr>
          <w:p>
            <w:pPr>
              <w:pStyle w:val="Normal"/>
              <w:spacing w:lineRule="auto" w:line="240" w:before="0" w:after="0"/>
              <w:jc w:val="start"/>
              <w:rPr/>
            </w:pPr>
            <w:r>
              <w:rPr>
                <w:rFonts w:eastAsia="Times New Roman" w:cs="Times New Roman"/>
                <w:sz w:val="20"/>
                <w:szCs w:val="20"/>
              </w:rPr>
              <w:t>CONFIRMED, NEEDS_CONFIRM</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CONFIRMED rules have been signed off by the operator’s compliance and product teams. NEEDS_CONFIRM rules remain pending operator confirmation; the rule’s draft value is recorded but should be treated as provisional. UK: all 78 rules CONFIRMED. NL: 131 of 133 CONFIRMED, 2 NEEDS_CONFIRM (one in Login/Playtime Tailoring Formula, one in Young Adult Rules).</w:t>
            </w:r>
          </w:p>
        </w:tc>
      </w:tr>
    </w:tbl>
    <w:p>
      <w:pPr>
        <w:pStyle w:val="Normal"/>
        <w:spacing w:lineRule="auto" w:line="240" w:before="0" w:after="0"/>
        <w:rPr/>
      </w:pPr>
      <w:r>
        <w:rPr/>
      </w:r>
    </w:p>
    <w:p>
      <w:pPr>
        <w:pStyle w:val="Normal"/>
        <w:spacing w:lineRule="auto" w:line="240" w:before="160" w:after="80"/>
        <w:jc w:val="start"/>
        <w:rPr/>
      </w:pPr>
      <w:r>
        <w:rPr>
          <w:rFonts w:eastAsia="Times New Roman" w:cs="Times New Roman"/>
          <w:b/>
          <w:bCs/>
          <w:sz w:val="22"/>
          <w:szCs w:val="22"/>
        </w:rPr>
        <w:t>5.1.8 source</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the authority or evidence base grounding the rule.</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Single value drawn from a controlled vocabulary.</w:t>
            </w:r>
          </w:p>
        </w:tc>
      </w:tr>
      <w:tr>
        <w:trPr/>
        <w:tc>
          <w:tcPr>
            <w:tcW w:w="2200" w:type="dxa"/>
            <w:tcBorders/>
          </w:tcPr>
          <w:p>
            <w:pPr>
              <w:pStyle w:val="Normal"/>
              <w:spacing w:lineRule="auto" w:line="240" w:before="0" w:after="0"/>
              <w:jc w:val="start"/>
              <w:rPr/>
            </w:pPr>
            <w:r>
              <w:rPr>
                <w:rFonts w:eastAsia="Times New Roman" w:cs="Times New Roman"/>
                <w:b/>
                <w:bCs/>
                <w:sz w:val="20"/>
                <w:szCs w:val="20"/>
              </w:rPr>
              <w:t>Controlled vocabulary (8 distinct values across both architectures)</w:t>
            </w:r>
          </w:p>
        </w:tc>
        <w:tc>
          <w:tcPr>
            <w:tcW w:w="7438" w:type="dxa"/>
            <w:tcBorders/>
          </w:tcPr>
          <w:p>
            <w:pPr>
              <w:pStyle w:val="Normal"/>
              <w:spacing w:lineRule="auto" w:line="240" w:before="0" w:after="0"/>
              <w:jc w:val="start"/>
              <w:rPr/>
            </w:pPr>
            <w:r>
              <w:rPr>
                <w:rFonts w:eastAsia="Times New Roman" w:cs="Times New Roman"/>
                <w:sz w:val="20"/>
                <w:szCs w:val="20"/>
              </w:rPr>
              <w:t>Data, IMS_spec, IMS + Data, KOA_2021, KOA_2021 + IMS_spec, LCCP, HC_voluntary_2022, refresh_calendar</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Data: empirical operator data informed the rule (e.g., observed player behaviour distributions). IMS_spec: the rule comes from the operator’s Internal Management System specification. IMS + Data: combination of empirical data and IMS specification. KOA_2021: Dutch Remote Gambling Act 2021 mandates the rule (NL only). KOA_2021 + IMS_spec: KOA grounding plus operator implementation specification (NL only). LCCP: UK Gambling Commission Licence Conditions and Codes of Practice mandate the rule (UK only). HC_voluntary_2022: Holland Casino voluntary commitment from 2022 (NL only). refresh_calendar: cross-architecture reference to the refresh event calendar.</w:t>
            </w:r>
          </w:p>
        </w:tc>
      </w:tr>
    </w:tbl>
    <w:p>
      <w:pPr>
        <w:pStyle w:val="Normal"/>
        <w:spacing w:lineRule="auto" w:line="240" w:before="0" w:after="0"/>
        <w:rPr/>
      </w:pPr>
      <w:r>
        <w:rPr/>
      </w:r>
    </w:p>
    <w:p>
      <w:pPr>
        <w:pStyle w:val="Normal"/>
        <w:spacing w:lineRule="auto" w:line="240" w:before="200" w:after="100"/>
        <w:jc w:val="start"/>
        <w:rPr/>
      </w:pPr>
      <w:r>
        <w:rPr>
          <w:rFonts w:eastAsia="Times New Roman" w:cs="Times New Roman"/>
          <w:b/>
          <w:bCs/>
          <w:i/>
          <w:iCs/>
          <w:sz w:val="24"/>
          <w:szCs w:val="24"/>
        </w:rPr>
        <w:t>5.2 Section structure</w:t>
      </w:r>
    </w:p>
    <w:p>
      <w:pPr>
        <w:pStyle w:val="Normal"/>
        <w:spacing w:lineRule="auto" w:line="240" w:before="160" w:after="80"/>
        <w:jc w:val="start"/>
        <w:rPr/>
      </w:pPr>
      <w:r>
        <w:rPr>
          <w:rFonts w:eastAsia="Times New Roman" w:cs="Times New Roman"/>
          <w:b/>
          <w:bCs/>
          <w:sz w:val="22"/>
          <w:szCs w:val="22"/>
        </w:rPr>
        <w:t>5.2.1 UK section structure (10 sections, 78 rules)</w:t>
      </w:r>
    </w:p>
    <w:p>
      <w:pPr>
        <w:pStyle w:val="Normal"/>
        <w:spacing w:lineRule="auto" w:line="240" w:before="0" w:after="80"/>
        <w:ind w:hanging="240" w:start="360"/>
        <w:jc w:val="start"/>
        <w:rPr/>
      </w:pPr>
      <w:r>
        <w:rPr>
          <w:rFonts w:eastAsia="Times New Roman" w:cs="Times New Roman"/>
          <w:sz w:val="24"/>
          <w:szCs w:val="24"/>
        </w:rPr>
        <w:t>•  CROSS-TOOL SCOPE (5 rules): assignment status (Mandatory/Optional) per tool</w:t>
      </w:r>
    </w:p>
    <w:p>
      <w:pPr>
        <w:pStyle w:val="Normal"/>
        <w:spacing w:lineRule="auto" w:line="240" w:before="0" w:after="80"/>
        <w:ind w:hanging="240" w:start="360"/>
        <w:jc w:val="start"/>
        <w:rPr/>
      </w:pPr>
      <w:r>
        <w:rPr>
          <w:rFonts w:eastAsia="Times New Roman" w:cs="Times New Roman"/>
          <w:sz w:val="24"/>
          <w:szCs w:val="24"/>
        </w:rPr>
        <w:t>•  THRESHOLD TRIGGERS (4 rules): when threshold-enabled variants fire</w:t>
      </w:r>
    </w:p>
    <w:p>
      <w:pPr>
        <w:pStyle w:val="Normal"/>
        <w:spacing w:lineRule="auto" w:line="240" w:before="0" w:after="80"/>
        <w:ind w:hanging="240" w:start="360"/>
        <w:jc w:val="start"/>
        <w:rPr/>
      </w:pPr>
      <w:r>
        <w:rPr>
          <w:rFonts w:eastAsia="Times New Roman" w:cs="Times New Roman"/>
          <w:sz w:val="24"/>
          <w:szCs w:val="24"/>
        </w:rPr>
        <w:t>•  LIMIT SET MODE (12 rules): limit_set_mode logic per tool and tier</w:t>
      </w:r>
    </w:p>
    <w:p>
      <w:pPr>
        <w:pStyle w:val="Normal"/>
        <w:spacing w:lineRule="auto" w:line="240" w:before="0" w:after="80"/>
        <w:ind w:hanging="240" w:start="360"/>
        <w:jc w:val="start"/>
        <w:rPr/>
      </w:pPr>
      <w:r>
        <w:rPr>
          <w:rFonts w:eastAsia="Times New Roman" w:cs="Times New Roman"/>
          <w:sz w:val="24"/>
          <w:szCs w:val="24"/>
        </w:rPr>
        <w:t>•  COOLDOWN &amp; INCREASE RULES (18 rules): asymmetric increase/decrease flow per tool and tier</w:t>
      </w:r>
    </w:p>
    <w:p>
      <w:pPr>
        <w:pStyle w:val="Normal"/>
        <w:spacing w:lineRule="auto" w:line="240" w:before="0" w:after="80"/>
        <w:ind w:hanging="240" w:start="360"/>
        <w:jc w:val="start"/>
        <w:rPr/>
      </w:pPr>
      <w:r>
        <w:rPr>
          <w:rFonts w:eastAsia="Times New Roman" w:cs="Times New Roman"/>
          <w:sz w:val="24"/>
          <w:szCs w:val="24"/>
        </w:rPr>
        <w:t>•  DEPOSIT LIMIT TAILORING FORMULA (R2/R3) (10 rules): system_1.5x and related adaptive formulae</w:t>
      </w:r>
    </w:p>
    <w:p>
      <w:pPr>
        <w:pStyle w:val="Normal"/>
        <w:spacing w:lineRule="auto" w:line="240" w:before="0" w:after="80"/>
        <w:ind w:hanging="240" w:start="360"/>
        <w:jc w:val="start"/>
        <w:rPr/>
      </w:pPr>
      <w:r>
        <w:rPr>
          <w:rFonts w:eastAsia="Times New Roman" w:cs="Times New Roman"/>
          <w:sz w:val="24"/>
          <w:szCs w:val="24"/>
        </w:rPr>
        <w:t>•  LOSS LIMIT TAILORING FORMULA (R2 v3/v4 and R3) (7 rules)</w:t>
      </w:r>
    </w:p>
    <w:p>
      <w:pPr>
        <w:pStyle w:val="Normal"/>
        <w:spacing w:lineRule="auto" w:line="240" w:before="0" w:after="80"/>
        <w:ind w:hanging="240" w:start="360"/>
        <w:jc w:val="start"/>
        <w:rPr/>
      </w:pPr>
      <w:r>
        <w:rPr>
          <w:rFonts w:eastAsia="Times New Roman" w:cs="Times New Roman"/>
          <w:sz w:val="24"/>
          <w:szCs w:val="24"/>
        </w:rPr>
        <w:t>•  BET LIMIT TAILORING FORMULA (R2 v3/v4 and R3) (6 rules)</w:t>
      </w:r>
    </w:p>
    <w:p>
      <w:pPr>
        <w:pStyle w:val="Normal"/>
        <w:spacing w:lineRule="auto" w:line="240" w:before="0" w:after="80"/>
        <w:ind w:hanging="240" w:start="360"/>
        <w:jc w:val="start"/>
        <w:rPr/>
      </w:pPr>
      <w:r>
        <w:rPr>
          <w:rFonts w:eastAsia="Times New Roman" w:cs="Times New Roman"/>
          <w:sz w:val="24"/>
          <w:szCs w:val="24"/>
        </w:rPr>
        <w:t>•  LOGIN/PLAYTIME RULES (6 rules)</w:t>
      </w:r>
    </w:p>
    <w:p>
      <w:pPr>
        <w:pStyle w:val="Normal"/>
        <w:spacing w:lineRule="auto" w:line="240" w:before="0" w:after="80"/>
        <w:ind w:hanging="240" w:start="360"/>
        <w:jc w:val="start"/>
        <w:rPr/>
      </w:pPr>
      <w:r>
        <w:rPr>
          <w:rFonts w:eastAsia="Times New Roman" w:cs="Times New Roman"/>
          <w:sz w:val="24"/>
          <w:szCs w:val="24"/>
        </w:rPr>
        <w:t>•  REFRESH &amp; TIMING (4 rules)</w:t>
      </w:r>
    </w:p>
    <w:p>
      <w:pPr>
        <w:pStyle w:val="Normal"/>
        <w:spacing w:lineRule="auto" w:line="240" w:before="0" w:after="80"/>
        <w:ind w:hanging="240" w:start="360"/>
        <w:jc w:val="start"/>
        <w:rPr/>
      </w:pPr>
      <w:r>
        <w:rPr>
          <w:rFonts w:eastAsia="Times New Roman" w:cs="Times New Roman"/>
          <w:sz w:val="24"/>
          <w:szCs w:val="24"/>
        </w:rPr>
        <w:t>•  YOUNG ADULT (YA) RULES (6 rules)</w:t>
      </w:r>
    </w:p>
    <w:p>
      <w:pPr>
        <w:pStyle w:val="Normal"/>
        <w:spacing w:lineRule="auto" w:line="240" w:before="160" w:after="80"/>
        <w:jc w:val="start"/>
        <w:rPr/>
      </w:pPr>
      <w:r>
        <w:rPr>
          <w:rFonts w:eastAsia="Times New Roman" w:cs="Times New Roman"/>
          <w:b/>
          <w:bCs/>
          <w:sz w:val="22"/>
          <w:szCs w:val="22"/>
        </w:rPr>
        <w:t>5.2.2 NL section structure (12 sections, 133 rules)</w:t>
      </w:r>
    </w:p>
    <w:p>
      <w:pPr>
        <w:pStyle w:val="Normal"/>
        <w:spacing w:lineRule="auto" w:line="240" w:before="0" w:after="80"/>
        <w:ind w:hanging="240" w:start="360"/>
        <w:jc w:val="start"/>
        <w:rPr/>
      </w:pPr>
      <w:r>
        <w:rPr>
          <w:rFonts w:eastAsia="Times New Roman" w:cs="Times New Roman"/>
          <w:sz w:val="24"/>
          <w:szCs w:val="24"/>
        </w:rPr>
        <w:t>•  CROSS-TOOL SCOPE (12 rules)</w:t>
      </w:r>
    </w:p>
    <w:p>
      <w:pPr>
        <w:pStyle w:val="Normal"/>
        <w:spacing w:lineRule="auto" w:line="240" w:before="0" w:after="80"/>
        <w:ind w:hanging="240" w:start="360"/>
        <w:jc w:val="start"/>
        <w:rPr/>
      </w:pPr>
      <w:r>
        <w:rPr>
          <w:rFonts w:eastAsia="Times New Roman" w:cs="Times New Roman"/>
          <w:sz w:val="24"/>
          <w:szCs w:val="24"/>
        </w:rPr>
        <w:t>•  THRESHOLD TRIGGERS (6 rules)</w:t>
      </w:r>
    </w:p>
    <w:p>
      <w:pPr>
        <w:pStyle w:val="Normal"/>
        <w:spacing w:lineRule="auto" w:line="240" w:before="0" w:after="80"/>
        <w:ind w:hanging="240" w:start="360"/>
        <w:jc w:val="start"/>
        <w:rPr/>
      </w:pPr>
      <w:r>
        <w:rPr>
          <w:rFonts w:eastAsia="Times New Roman" w:cs="Times New Roman"/>
          <w:sz w:val="24"/>
          <w:szCs w:val="24"/>
        </w:rPr>
        <w:t>•  LIMIT SET MODE (19 rules)</w:t>
      </w:r>
    </w:p>
    <w:p>
      <w:pPr>
        <w:pStyle w:val="Normal"/>
        <w:spacing w:lineRule="auto" w:line="240" w:before="0" w:after="80"/>
        <w:ind w:hanging="240" w:start="360"/>
        <w:jc w:val="start"/>
        <w:rPr/>
      </w:pPr>
      <w:r>
        <w:rPr>
          <w:rFonts w:eastAsia="Times New Roman" w:cs="Times New Roman"/>
          <w:sz w:val="24"/>
          <w:szCs w:val="24"/>
        </w:rPr>
        <w:t>•  COOLDOWN &amp; INCREASE RULES (30 rules)</w:t>
      </w:r>
    </w:p>
    <w:p>
      <w:pPr>
        <w:pStyle w:val="Normal"/>
        <w:spacing w:lineRule="auto" w:line="240" w:before="0" w:after="80"/>
        <w:ind w:hanging="240" w:start="360"/>
        <w:jc w:val="start"/>
        <w:rPr/>
      </w:pPr>
      <w:r>
        <w:rPr>
          <w:rFonts w:eastAsia="Times New Roman" w:cs="Times New Roman"/>
          <w:sz w:val="24"/>
          <w:szCs w:val="24"/>
        </w:rPr>
        <w:t>•  DEPOSIT LIMIT TAILORING FORMULA (R2/R3) (10 rules)</w:t>
      </w:r>
    </w:p>
    <w:p>
      <w:pPr>
        <w:pStyle w:val="Normal"/>
        <w:spacing w:lineRule="auto" w:line="240" w:before="0" w:after="80"/>
        <w:ind w:hanging="240" w:start="360"/>
        <w:jc w:val="start"/>
        <w:rPr/>
      </w:pPr>
      <w:r>
        <w:rPr>
          <w:rFonts w:eastAsia="Times New Roman" w:cs="Times New Roman"/>
          <w:sz w:val="24"/>
          <w:szCs w:val="24"/>
        </w:rPr>
        <w:t>•  LOGIN/PLAYTIME TAILORING FORMULA (R2/R3) (12 rules)</w:t>
      </w:r>
    </w:p>
    <w:p>
      <w:pPr>
        <w:pStyle w:val="Normal"/>
        <w:spacing w:lineRule="auto" w:line="240" w:before="0" w:after="80"/>
        <w:ind w:hanging="240" w:start="360"/>
        <w:jc w:val="start"/>
        <w:rPr/>
      </w:pPr>
      <w:r>
        <w:rPr>
          <w:rFonts w:eastAsia="Times New Roman" w:cs="Times New Roman"/>
          <w:sz w:val="24"/>
          <w:szCs w:val="24"/>
        </w:rPr>
        <w:t>•  AWL TAILORING FORMULA (R2/R3): AWT &amp; ALB (12 rules)</w:t>
      </w:r>
    </w:p>
    <w:p>
      <w:pPr>
        <w:pStyle w:val="Normal"/>
        <w:spacing w:lineRule="auto" w:line="240" w:before="0" w:after="80"/>
        <w:ind w:hanging="240" w:start="360"/>
        <w:jc w:val="start"/>
        <w:rPr/>
      </w:pPr>
      <w:r>
        <w:rPr>
          <w:rFonts w:eastAsia="Times New Roman" w:cs="Times New Roman"/>
          <w:sz w:val="24"/>
          <w:szCs w:val="24"/>
        </w:rPr>
        <w:t>•  LOSS LIMIT TAILORING FORMULA (R2 v3/v4 and R3) (7 rules)</w:t>
      </w:r>
    </w:p>
    <w:p>
      <w:pPr>
        <w:pStyle w:val="Normal"/>
        <w:spacing w:lineRule="auto" w:line="240" w:before="0" w:after="80"/>
        <w:ind w:hanging="240" w:start="360"/>
        <w:jc w:val="start"/>
        <w:rPr/>
      </w:pPr>
      <w:r>
        <w:rPr>
          <w:rFonts w:eastAsia="Times New Roman" w:cs="Times New Roman"/>
          <w:sz w:val="24"/>
          <w:szCs w:val="24"/>
        </w:rPr>
        <w:t>•  BET LIMIT TAILORING FORMULA (R2 v3/v4 and R3) (7 rules)</w:t>
      </w:r>
    </w:p>
    <w:p>
      <w:pPr>
        <w:pStyle w:val="Normal"/>
        <w:spacing w:lineRule="auto" w:line="240" w:before="0" w:after="80"/>
        <w:ind w:hanging="240" w:start="360"/>
        <w:jc w:val="start"/>
        <w:rPr/>
      </w:pPr>
      <w:r>
        <w:rPr>
          <w:rFonts w:eastAsia="Times New Roman" w:cs="Times New Roman"/>
          <w:sz w:val="24"/>
          <w:szCs w:val="24"/>
        </w:rPr>
        <w:t>•  DEPOSIT COUNT LIMIT TAILORING FORMULA (R2 v3/v4 and R3) (7 rules)</w:t>
      </w:r>
    </w:p>
    <w:p>
      <w:pPr>
        <w:pStyle w:val="Normal"/>
        <w:spacing w:lineRule="auto" w:line="240" w:before="0" w:after="80"/>
        <w:ind w:hanging="240" w:start="360"/>
        <w:jc w:val="start"/>
        <w:rPr/>
      </w:pPr>
      <w:r>
        <w:rPr>
          <w:rFonts w:eastAsia="Times New Roman" w:cs="Times New Roman"/>
          <w:sz w:val="24"/>
          <w:szCs w:val="24"/>
        </w:rPr>
        <w:t>•  REFRESH &amp; TIMING (5 rules)</w:t>
      </w:r>
    </w:p>
    <w:p>
      <w:pPr>
        <w:pStyle w:val="Normal"/>
        <w:spacing w:lineRule="auto" w:line="240" w:before="0" w:after="80"/>
        <w:ind w:hanging="240" w:start="360"/>
        <w:jc w:val="start"/>
        <w:rPr/>
      </w:pPr>
      <w:r>
        <w:rPr>
          <w:rFonts w:eastAsia="Times New Roman" w:cs="Times New Roman"/>
          <w:sz w:val="24"/>
          <w:szCs w:val="24"/>
        </w:rPr>
        <w:t>•  YOUNG ADULT (YA) RULES (6 rules)</w:t>
      </w:r>
    </w:p>
    <w:p>
      <w:pPr>
        <w:pStyle w:val="Normal"/>
        <w:spacing w:lineRule="auto" w:line="240" w:before="0" w:after="120"/>
        <w:jc w:val="both"/>
        <w:rPr/>
      </w:pPr>
      <w:r>
        <w:rPr>
          <w:rFonts w:eastAsia="Times New Roman" w:cs="Times New Roman"/>
          <w:sz w:val="24"/>
          <w:szCs w:val="24"/>
        </w:rPr>
        <w:t>The NL architecture has more sections and more rules because each tailored limit type receives its own tailoring-formula section. The UK architecture collapses several tailoring formulae into shared rules, reflecting greater operator design discretion under LCCP. NL also expands the YA rules section to accommodate KOA 2021’s age-specific provisions for players under 24.</w:t>
      </w:r>
    </w:p>
    <w:p>
      <w:pPr>
        <w:pStyle w:val="Normal"/>
        <w:spacing w:lineRule="auto" w:line="240" w:before="280" w:after="120"/>
        <w:jc w:val="start"/>
        <w:rPr/>
      </w:pPr>
      <w:r>
        <w:rPr>
          <w:rFonts w:eastAsia="Times New Roman" w:cs="Times New Roman"/>
          <w:b/>
          <w:bCs/>
          <w:sz w:val="24"/>
          <w:szCs w:val="24"/>
        </w:rPr>
        <w:t>6. message_templates sheet</w:t>
      </w:r>
    </w:p>
    <w:p>
      <w:pPr>
        <w:pStyle w:val="Normal"/>
        <w:spacing w:lineRule="auto" w:line="240" w:before="0" w:after="120"/>
        <w:jc w:val="both"/>
        <w:rPr/>
      </w:pPr>
      <w:r>
        <w:rPr>
          <w:rFonts w:eastAsia="Times New Roman" w:cs="Times New Roman"/>
          <w:sz w:val="24"/>
          <w:szCs w:val="24"/>
        </w:rPr>
        <w:t>Verbatim player-facing copy for variants where copy was developed. Each row specifies a single message at a single delivery point. UK: 192 templates across 10 tools. NL: 215 templates across 11 tools.</w:t>
      </w:r>
    </w:p>
    <w:p>
      <w:pPr>
        <w:pStyle w:val="Normal"/>
        <w:spacing w:lineRule="auto" w:line="240" w:before="200" w:after="100"/>
        <w:jc w:val="start"/>
        <w:rPr/>
      </w:pPr>
      <w:r>
        <w:rPr>
          <w:rFonts w:eastAsia="Times New Roman" w:cs="Times New Roman"/>
          <w:b/>
          <w:bCs/>
          <w:i/>
          <w:iCs/>
          <w:sz w:val="24"/>
          <w:szCs w:val="24"/>
        </w:rPr>
        <w:t>6.1 Columns</w:t>
      </w:r>
    </w:p>
    <w:p>
      <w:pPr>
        <w:pStyle w:val="Normal"/>
        <w:spacing w:lineRule="auto" w:line="240" w:before="160" w:after="80"/>
        <w:jc w:val="start"/>
        <w:rPr/>
      </w:pPr>
      <w:r>
        <w:rPr>
          <w:rFonts w:eastAsia="Times New Roman" w:cs="Times New Roman"/>
          <w:b/>
          <w:bCs/>
          <w:sz w:val="22"/>
          <w:szCs w:val="22"/>
        </w:rPr>
        <w:t>6.1.1 specification_status, variant_id, tool_name, risk_level</w:t>
      </w:r>
    </w:p>
    <w:p>
      <w:pPr>
        <w:pStyle w:val="Normal"/>
        <w:spacing w:lineRule="auto" w:line="240" w:before="0" w:after="120"/>
        <w:jc w:val="both"/>
        <w:rPr/>
      </w:pPr>
      <w:r>
        <w:rPr>
          <w:rFonts w:eastAsia="Times New Roman" w:cs="Times New Roman"/>
          <w:sz w:val="24"/>
          <w:szCs w:val="24"/>
        </w:rPr>
        <w:t>Same definitions as in tool_variants (Section 3). Templates are linked to their parent variant via variant_id.</w:t>
      </w:r>
    </w:p>
    <w:p>
      <w:pPr>
        <w:pStyle w:val="Normal"/>
        <w:spacing w:lineRule="auto" w:line="240" w:before="160" w:after="80"/>
        <w:jc w:val="start"/>
        <w:rPr/>
      </w:pPr>
      <w:r>
        <w:rPr>
          <w:rFonts w:eastAsia="Times New Roman" w:cs="Times New Roman"/>
          <w:b/>
          <w:bCs/>
          <w:sz w:val="22"/>
          <w:szCs w:val="22"/>
        </w:rPr>
        <w:t>6.1.2 message_stage</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the user-flow event at which the message is delivered.</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Single value drawn from a controlled vocabulary (19 distinct stage names across both architectures).</w:t>
            </w:r>
          </w:p>
        </w:tc>
      </w:tr>
      <w:tr>
        <w:trPr/>
        <w:tc>
          <w:tcPr>
            <w:tcW w:w="2200" w:type="dxa"/>
            <w:tcBorders/>
          </w:tcPr>
          <w:p>
            <w:pPr>
              <w:pStyle w:val="Normal"/>
              <w:spacing w:lineRule="auto" w:line="240" w:before="0" w:after="0"/>
              <w:jc w:val="start"/>
              <w:rPr/>
            </w:pPr>
            <w:r>
              <w:rPr>
                <w:rFonts w:eastAsia="Times New Roman" w:cs="Times New Roman"/>
                <w:b/>
                <w:bCs/>
                <w:sz w:val="20"/>
                <w:szCs w:val="20"/>
              </w:rPr>
              <w:t>Controlled vocabulary (in both)</w:t>
            </w:r>
          </w:p>
        </w:tc>
        <w:tc>
          <w:tcPr>
            <w:tcW w:w="7438" w:type="dxa"/>
            <w:tcBorders/>
          </w:tcPr>
          <w:p>
            <w:pPr>
              <w:pStyle w:val="Normal"/>
              <w:spacing w:lineRule="auto" w:line="240" w:before="0" w:after="0"/>
              <w:jc w:val="start"/>
              <w:rPr/>
            </w:pPr>
            <w:r>
              <w:rPr>
                <w:rFonts w:eastAsia="Times New Roman" w:cs="Times New Roman"/>
                <w:sz w:val="20"/>
                <w:szCs w:val="20"/>
              </w:rPr>
              <w:t>breach_100_popup, decrease_toaster, end_confirmation_popup, increase_request_popup, pending_increase_popup, threshold_25_popup, threshold_80_popup</w:t>
            </w:r>
          </w:p>
        </w:tc>
      </w:tr>
      <w:tr>
        <w:trPr/>
        <w:tc>
          <w:tcPr>
            <w:tcW w:w="2200" w:type="dxa"/>
            <w:tcBorders/>
          </w:tcPr>
          <w:p>
            <w:pPr>
              <w:pStyle w:val="Normal"/>
              <w:spacing w:lineRule="auto" w:line="240" w:before="0" w:after="0"/>
              <w:jc w:val="start"/>
              <w:rPr/>
            </w:pPr>
            <w:r>
              <w:rPr>
                <w:rFonts w:eastAsia="Times New Roman" w:cs="Times New Roman"/>
                <w:b/>
                <w:bCs/>
                <w:sz w:val="20"/>
                <w:szCs w:val="20"/>
              </w:rPr>
              <w:t>UK-only stages</w:t>
            </w:r>
          </w:p>
        </w:tc>
        <w:tc>
          <w:tcPr>
            <w:tcW w:w="7438" w:type="dxa"/>
            <w:tcBorders/>
          </w:tcPr>
          <w:p>
            <w:pPr>
              <w:pStyle w:val="Normal"/>
              <w:spacing w:lineRule="auto" w:line="240" w:before="0" w:after="0"/>
              <w:jc w:val="start"/>
              <w:rPr/>
            </w:pPr>
            <w:r>
              <w:rPr>
                <w:rFonts w:eastAsia="Times New Roman" w:cs="Times New Roman"/>
                <w:sz w:val="20"/>
                <w:szCs w:val="20"/>
              </w:rPr>
              <w:t>break_disablement_popup, break_enablement_toaster, break_initiation_popup_onetime, break_initiation_popup_regular, login_reminder_popup, session_interval_popup</w:t>
            </w:r>
          </w:p>
        </w:tc>
      </w:tr>
      <w:tr>
        <w:trPr/>
        <w:tc>
          <w:tcPr>
            <w:tcW w:w="2200" w:type="dxa"/>
            <w:tcBorders/>
          </w:tcPr>
          <w:p>
            <w:pPr>
              <w:pStyle w:val="Normal"/>
              <w:spacing w:lineRule="auto" w:line="240" w:before="0" w:after="0"/>
              <w:jc w:val="start"/>
              <w:rPr/>
            </w:pPr>
            <w:r>
              <w:rPr>
                <w:rFonts w:eastAsia="Times New Roman" w:cs="Times New Roman"/>
                <w:b/>
                <w:bCs/>
                <w:sz w:val="20"/>
                <w:szCs w:val="20"/>
              </w:rPr>
              <w:t>NL-only stages</w:t>
            </w:r>
          </w:p>
        </w:tc>
        <w:tc>
          <w:tcPr>
            <w:tcW w:w="7438" w:type="dxa"/>
            <w:tcBorders/>
          </w:tcPr>
          <w:p>
            <w:pPr>
              <w:pStyle w:val="Normal"/>
              <w:spacing w:lineRule="auto" w:line="240" w:before="0" w:after="0"/>
              <w:jc w:val="start"/>
              <w:rPr/>
            </w:pPr>
            <w:r>
              <w:rPr>
                <w:rFonts w:eastAsia="Times New Roman" w:cs="Times New Roman"/>
                <w:sz w:val="20"/>
                <w:szCs w:val="20"/>
              </w:rPr>
              <w:t>break_activation_toaster, break_cancellation_popup, break_initiation_one_time_popup, break_initiation_recurring_popup, rc_popup, reminder_popup</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Stage names are descriptive of the user-flow event. UK and NL use different naming conventions for some break-related stages (e.g., UK ‘break_initiation_popup_onetime’ vs. NL ‘break_initiation_one_time_popup’); the underlying stages are functionally equivalent and the divergence is operational rather than design-driven. Stage names operationalise the Stage sub-vocabulary of the framework’s Trigger dimension at higher granularity than the framework’s vocabulary alone supports.</w:t>
            </w:r>
          </w:p>
        </w:tc>
      </w:tr>
    </w:tbl>
    <w:p>
      <w:pPr>
        <w:pStyle w:val="Normal"/>
        <w:spacing w:lineRule="auto" w:line="240" w:before="0" w:after="0"/>
        <w:rPr/>
      </w:pPr>
      <w:r>
        <w:rPr/>
      </w:r>
    </w:p>
    <w:p>
      <w:pPr>
        <w:pStyle w:val="Normal"/>
        <w:spacing w:lineRule="auto" w:line="240" w:before="160" w:after="80"/>
        <w:jc w:val="start"/>
        <w:rPr/>
      </w:pPr>
      <w:r>
        <w:rPr>
          <w:rFonts w:eastAsia="Times New Roman" w:cs="Times New Roman"/>
          <w:b/>
          <w:bCs/>
          <w:sz w:val="22"/>
          <w:szCs w:val="22"/>
        </w:rPr>
        <w:t>6.1.3 content_type</w:t>
      </w:r>
    </w:p>
    <w:p>
      <w:pPr>
        <w:pStyle w:val="Normal"/>
        <w:spacing w:lineRule="auto" w:line="240" w:before="0" w:after="120"/>
        <w:jc w:val="both"/>
        <w:rPr/>
      </w:pPr>
      <w:r>
        <w:rPr>
          <w:rFonts w:eastAsia="Times New Roman" w:cs="Times New Roman"/>
          <w:sz w:val="24"/>
          <w:szCs w:val="24"/>
        </w:rPr>
        <w:t>Same definition as in tool_variants (Section 3). PPF, EPF, unified, cognitive_distractor_1, cognitive_distractor_2.</w:t>
      </w:r>
    </w:p>
    <w:p>
      <w:pPr>
        <w:pStyle w:val="Normal"/>
        <w:spacing w:lineRule="auto" w:line="240" w:before="160" w:after="80"/>
        <w:jc w:val="start"/>
        <w:rPr/>
      </w:pPr>
      <w:r>
        <w:rPr>
          <w:rFonts w:eastAsia="Times New Roman" w:cs="Times New Roman"/>
          <w:b/>
          <w:bCs/>
          <w:sz w:val="22"/>
          <w:szCs w:val="22"/>
        </w:rPr>
        <w:t>6.1.4 message_surface</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the UI surface on which the message is displayed.</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Single value drawn from a controlled vocabulary.</w:t>
            </w:r>
          </w:p>
        </w:tc>
      </w:tr>
      <w:tr>
        <w:trPr/>
        <w:tc>
          <w:tcPr>
            <w:tcW w:w="2200" w:type="dxa"/>
            <w:tcBorders/>
          </w:tcPr>
          <w:p>
            <w:pPr>
              <w:pStyle w:val="Normal"/>
              <w:spacing w:lineRule="auto" w:line="240" w:before="0" w:after="0"/>
              <w:jc w:val="start"/>
              <w:rPr/>
            </w:pPr>
            <w:r>
              <w:rPr>
                <w:rFonts w:eastAsia="Times New Roman" w:cs="Times New Roman"/>
                <w:b/>
                <w:bCs/>
                <w:sz w:val="20"/>
                <w:szCs w:val="20"/>
              </w:rPr>
              <w:t>Controlled vocabulary</w:t>
            </w:r>
          </w:p>
        </w:tc>
        <w:tc>
          <w:tcPr>
            <w:tcW w:w="7438" w:type="dxa"/>
            <w:tcBorders/>
          </w:tcPr>
          <w:p>
            <w:pPr>
              <w:pStyle w:val="Normal"/>
              <w:spacing w:lineRule="auto" w:line="240" w:before="0" w:after="0"/>
              <w:jc w:val="start"/>
              <w:rPr/>
            </w:pPr>
            <w:r>
              <w:rPr>
                <w:rFonts w:eastAsia="Times New Roman" w:cs="Times New Roman"/>
                <w:sz w:val="20"/>
                <w:szCs w:val="20"/>
              </w:rPr>
              <w:t>modal_popup, toast, static_page, error_message</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modal_popup interrupts player flow and requires interaction; toast provides non-interruptive notification; static_page is non-interruptive informational content; error_message indicates a system error condition.</w:t>
            </w:r>
          </w:p>
        </w:tc>
      </w:tr>
    </w:tbl>
    <w:p>
      <w:pPr>
        <w:pStyle w:val="Normal"/>
        <w:spacing w:lineRule="auto" w:line="240" w:before="0" w:after="0"/>
        <w:rPr/>
      </w:pPr>
      <w:r>
        <w:rPr/>
      </w:r>
    </w:p>
    <w:p>
      <w:pPr>
        <w:pStyle w:val="Normal"/>
        <w:spacing w:lineRule="auto" w:line="240" w:before="160" w:after="80"/>
        <w:jc w:val="start"/>
        <w:rPr/>
      </w:pPr>
      <w:r>
        <w:rPr>
          <w:rFonts w:eastAsia="Times New Roman" w:cs="Times New Roman"/>
          <w:b/>
          <w:bCs/>
          <w:sz w:val="22"/>
          <w:szCs w:val="22"/>
        </w:rPr>
        <w:t>6.1.5 spec_button_labels</w:t>
      </w:r>
    </w:p>
    <w:p>
      <w:pPr>
        <w:pStyle w:val="Normal"/>
        <w:spacing w:lineRule="auto" w:line="240" w:before="0" w:after="120"/>
        <w:jc w:val="both"/>
        <w:rPr/>
      </w:pPr>
      <w:r>
        <w:rPr>
          <w:rFonts w:eastAsia="Times New Roman" w:cs="Times New Roman"/>
          <w:sz w:val="24"/>
          <w:szCs w:val="24"/>
        </w:rPr>
        <w:t>Comma-separated list of button labels presented in the message. Reflects the architecture’s choice-response design principle: each message offers the player meaningful interaction options where the surface permits. Examples: ‘Review My Limits | Continue Play | Exit Icon’ or ‘Auto-close | Dismiss | Link: RG Support’.</w:t>
      </w:r>
    </w:p>
    <w:p>
      <w:pPr>
        <w:pStyle w:val="Normal"/>
        <w:spacing w:lineRule="auto" w:line="240" w:before="160" w:after="80"/>
        <w:jc w:val="start"/>
        <w:rPr/>
      </w:pPr>
      <w:r>
        <w:rPr>
          <w:rFonts w:eastAsia="Times New Roman" w:cs="Times New Roman"/>
          <w:b/>
          <w:bCs/>
          <w:sz w:val="22"/>
          <w:szCs w:val="22"/>
        </w:rPr>
        <w:t>6.1.6 closure_type</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how the message is closed by the player or system.</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Single value drawn from a controlled vocabulary.</w:t>
            </w:r>
          </w:p>
        </w:tc>
      </w:tr>
      <w:tr>
        <w:trPr/>
        <w:tc>
          <w:tcPr>
            <w:tcW w:w="2200" w:type="dxa"/>
            <w:tcBorders/>
          </w:tcPr>
          <w:p>
            <w:pPr>
              <w:pStyle w:val="Normal"/>
              <w:spacing w:lineRule="auto" w:line="240" w:before="0" w:after="0"/>
              <w:jc w:val="start"/>
              <w:rPr/>
            </w:pPr>
            <w:r>
              <w:rPr>
                <w:rFonts w:eastAsia="Times New Roman" w:cs="Times New Roman"/>
                <w:b/>
                <w:bCs/>
                <w:sz w:val="20"/>
                <w:szCs w:val="20"/>
              </w:rPr>
              <w:t>Controlled vocabulary</w:t>
            </w:r>
          </w:p>
        </w:tc>
        <w:tc>
          <w:tcPr>
            <w:tcW w:w="7438" w:type="dxa"/>
            <w:tcBorders/>
          </w:tcPr>
          <w:p>
            <w:pPr>
              <w:pStyle w:val="Normal"/>
              <w:spacing w:lineRule="auto" w:line="240" w:before="0" w:after="0"/>
              <w:jc w:val="start"/>
              <w:rPr/>
            </w:pPr>
            <w:r>
              <w:rPr>
                <w:rFonts w:eastAsia="Times New Roman" w:cs="Times New Roman"/>
                <w:sz w:val="20"/>
                <w:szCs w:val="20"/>
              </w:rPr>
              <w:t>manual_close_exit_icon, auto_close_or_dismiss, manual_close_required_action</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Closure type captures whether the player must take a specific action to dismiss the message (required_action) or can dismiss freely (exit_icon, auto_close_or_dismiss). Required-action closures are used for high-importance interruptions where passive dismissal is not appropriate.</w:t>
            </w:r>
          </w:p>
        </w:tc>
      </w:tr>
    </w:tbl>
    <w:p>
      <w:pPr>
        <w:pStyle w:val="Normal"/>
        <w:spacing w:lineRule="auto" w:line="240" w:before="0" w:after="0"/>
        <w:rPr/>
      </w:pPr>
      <w:r>
        <w:rPr/>
      </w:r>
    </w:p>
    <w:p>
      <w:pPr>
        <w:pStyle w:val="Normal"/>
        <w:spacing w:lineRule="auto" w:line="240" w:before="160" w:after="80"/>
        <w:jc w:val="start"/>
        <w:rPr/>
      </w:pPr>
      <w:r>
        <w:rPr>
          <w:rFonts w:eastAsia="Times New Roman" w:cs="Times New Roman"/>
          <w:b/>
          <w:bCs/>
          <w:sz w:val="22"/>
          <w:szCs w:val="22"/>
        </w:rPr>
        <w:t>6.1.7 message_sender</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which backend system originates the message.</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Single value drawn from a controlled vocabulary.</w:t>
            </w:r>
          </w:p>
        </w:tc>
      </w:tr>
      <w:tr>
        <w:trPr/>
        <w:tc>
          <w:tcPr>
            <w:tcW w:w="2200" w:type="dxa"/>
            <w:tcBorders/>
          </w:tcPr>
          <w:p>
            <w:pPr>
              <w:pStyle w:val="Normal"/>
              <w:spacing w:lineRule="auto" w:line="240" w:before="0" w:after="0"/>
              <w:jc w:val="start"/>
              <w:rPr/>
            </w:pPr>
            <w:r>
              <w:rPr>
                <w:rFonts w:eastAsia="Times New Roman" w:cs="Times New Roman"/>
                <w:b/>
                <w:bCs/>
                <w:sz w:val="20"/>
                <w:szCs w:val="20"/>
              </w:rPr>
              <w:t>Controlled vocabulary</w:t>
            </w:r>
          </w:p>
        </w:tc>
        <w:tc>
          <w:tcPr>
            <w:tcW w:w="7438" w:type="dxa"/>
            <w:tcBorders/>
          </w:tcPr>
          <w:p>
            <w:pPr>
              <w:pStyle w:val="Normal"/>
              <w:spacing w:lineRule="auto" w:line="240" w:before="0" w:after="0"/>
              <w:jc w:val="start"/>
              <w:rPr/>
            </w:pPr>
            <w:r>
              <w:rPr>
                <w:rFonts w:eastAsia="Times New Roman" w:cs="Times New Roman"/>
                <w:sz w:val="20"/>
                <w:szCs w:val="20"/>
              </w:rPr>
              <w:t>IMS, Engagement</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IMS (Internal Management System) is the operator’s backend decision engine that applies regulatory and limit-related logic. Engagement is the engagement/CRM layer, typically used for behavioural nudges and longer-form RG communications. The split distinguishes regulated/compliance messaging (IMS) from voluntary/educational messaging (Engagement).</w:t>
            </w:r>
          </w:p>
        </w:tc>
      </w:tr>
    </w:tbl>
    <w:p>
      <w:pPr>
        <w:pStyle w:val="Normal"/>
        <w:spacing w:lineRule="auto" w:line="240" w:before="0" w:after="0"/>
        <w:rPr/>
      </w:pPr>
      <w:r>
        <w:rPr/>
      </w:r>
    </w:p>
    <w:p>
      <w:pPr>
        <w:pStyle w:val="Normal"/>
        <w:spacing w:lineRule="auto" w:line="240" w:before="160" w:after="80"/>
        <w:jc w:val="start"/>
        <w:rPr/>
      </w:pPr>
      <w:r>
        <w:rPr>
          <w:rFonts w:eastAsia="Times New Roman" w:cs="Times New Roman"/>
          <w:b/>
          <w:bCs/>
          <w:sz w:val="22"/>
          <w:szCs w:val="22"/>
        </w:rPr>
        <w:t>6.1.8 message_text</w:t>
      </w:r>
    </w:p>
    <w:p>
      <w:pPr>
        <w:pStyle w:val="Normal"/>
        <w:spacing w:lineRule="auto" w:line="240" w:before="0" w:after="120"/>
        <w:jc w:val="both"/>
        <w:rPr/>
      </w:pPr>
      <w:r>
        <w:rPr>
          <w:rFonts w:eastAsia="Times New Roman" w:cs="Times New Roman"/>
          <w:sz w:val="24"/>
          <w:szCs w:val="24"/>
        </w:rPr>
        <w:t>The full verbatim copy for the message. Includes interpolation placeholders (e.g., {amount}, {limit_value}, {time_elapsed}) that are populated at run-time with player-specific data for PPF and EPF content types. Mean word count: UK 63.9 (range 29–115); NL 61.4 (range 29–115). Word count distributions are substantively similar across the two architectures, reflecting translation-equivalent copy density.</w:t>
      </w:r>
    </w:p>
    <w:p>
      <w:pPr>
        <w:pStyle w:val="Normal"/>
        <w:spacing w:lineRule="auto" w:line="240" w:before="200" w:after="100"/>
        <w:jc w:val="start"/>
        <w:rPr/>
      </w:pPr>
      <w:r>
        <w:rPr>
          <w:rFonts w:eastAsia="Times New Roman" w:cs="Times New Roman"/>
          <w:b/>
          <w:bCs/>
          <w:i/>
          <w:iCs/>
          <w:sz w:val="24"/>
          <w:szCs w:val="24"/>
        </w:rPr>
        <w:t>6.2 Currency and language</w:t>
      </w:r>
    </w:p>
    <w:tbl>
      <w:tblPr>
        <w:tblW w:w="9638" w:type="dxa"/>
        <w:jc w:val="start"/>
        <w:tblInd w:w="0" w:type="dxa"/>
        <w:tblLayout w:type="fixed"/>
        <w:tblCellMar>
          <w:top w:w="60" w:type="dxa"/>
          <w:start w:w="100" w:type="dxa"/>
          <w:bottom w:w="60" w:type="dxa"/>
          <w:end w:w="100" w:type="dxa"/>
        </w:tblCellMar>
      </w:tblPr>
      <w:tblGrid>
        <w:gridCol w:w="2399"/>
        <w:gridCol w:w="7239"/>
      </w:tblGrid>
      <w:tr>
        <w:trPr/>
        <w:tc>
          <w:tcPr>
            <w:tcW w:w="2399" w:type="dxa"/>
            <w:tcBorders>
              <w:top w:val="single" w:sz="8" w:space="0" w:color="000000"/>
            </w:tcBorders>
          </w:tcPr>
          <w:p>
            <w:pPr>
              <w:pStyle w:val="Normal"/>
              <w:spacing w:lineRule="auto" w:line="240" w:before="0" w:after="0"/>
              <w:jc w:val="start"/>
              <w:rPr/>
            </w:pPr>
            <w:r>
              <w:rPr>
                <w:rFonts w:eastAsia="Times New Roman" w:cs="Times New Roman"/>
                <w:b/>
                <w:bCs/>
                <w:sz w:val="20"/>
                <w:szCs w:val="20"/>
              </w:rPr>
              <w:t>UK</w:t>
            </w:r>
          </w:p>
        </w:tc>
        <w:tc>
          <w:tcPr>
            <w:tcW w:w="7239" w:type="dxa"/>
            <w:tcBorders>
              <w:top w:val="single" w:sz="8" w:space="0" w:color="000000"/>
            </w:tcBorders>
          </w:tcPr>
          <w:p>
            <w:pPr>
              <w:pStyle w:val="Normal"/>
              <w:spacing w:lineRule="auto" w:line="240" w:before="0" w:after="0"/>
              <w:jc w:val="start"/>
              <w:rPr/>
            </w:pPr>
            <w:r>
              <w:rPr>
                <w:rFonts w:eastAsia="Times New Roman" w:cs="Times New Roman"/>
                <w:sz w:val="20"/>
                <w:szCs w:val="20"/>
              </w:rPr>
              <w:t>Language: en-GB. Currency: currency_gbp. Single-language and single-currency throughout the architecture.</w:t>
            </w:r>
          </w:p>
        </w:tc>
      </w:tr>
      <w:tr>
        <w:trPr/>
        <w:tc>
          <w:tcPr>
            <w:tcW w:w="2399"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NL</w:t>
            </w:r>
          </w:p>
        </w:tc>
        <w:tc>
          <w:tcPr>
            <w:tcW w:w="7239" w:type="dxa"/>
            <w:tcBorders>
              <w:bottom w:val="single" w:sz="8" w:space="0" w:color="000000"/>
            </w:tcBorders>
          </w:tcPr>
          <w:p>
            <w:pPr>
              <w:pStyle w:val="Normal"/>
              <w:spacing w:lineRule="auto" w:line="240" w:before="0" w:after="0"/>
              <w:jc w:val="start"/>
              <w:rPr/>
            </w:pPr>
            <w:r>
              <w:rPr>
                <w:rFonts w:eastAsia="Times New Roman" w:cs="Times New Roman"/>
                <w:sz w:val="20"/>
                <w:szCs w:val="20"/>
              </w:rPr>
              <w:t>Language: nl-NL. Currency: currency_eur. Single-language and single-currency throughout the architecture.</w:t>
            </w:r>
          </w:p>
        </w:tc>
      </w:tr>
    </w:tbl>
    <w:p>
      <w:pPr>
        <w:pStyle w:val="Normal"/>
        <w:spacing w:lineRule="auto" w:line="240" w:before="0" w:after="0"/>
        <w:rPr/>
      </w:pPr>
      <w:r>
        <w:rPr/>
      </w:r>
    </w:p>
    <w:p>
      <w:pPr>
        <w:pStyle w:val="Normal"/>
        <w:spacing w:lineRule="auto" w:line="240" w:before="0" w:after="120"/>
        <w:jc w:val="both"/>
        <w:rPr/>
      </w:pPr>
      <w:r>
        <w:rPr>
          <w:rFonts w:eastAsia="Times New Roman" w:cs="Times New Roman"/>
          <w:sz w:val="24"/>
          <w:szCs w:val="24"/>
        </w:rPr>
        <w:t>Localisation is set at the architecture level rather than per-tool: every message in 05.1 is in en-GB; every message in 05.2 is in nl-NL.</w:t>
      </w:r>
    </w:p>
    <w:p>
      <w:pPr>
        <w:pStyle w:val="Normal"/>
        <w:spacing w:lineRule="auto" w:line="240" w:before="280" w:after="120"/>
        <w:jc w:val="start"/>
        <w:rPr/>
      </w:pPr>
      <w:r>
        <w:rPr>
          <w:rFonts w:eastAsia="Times New Roman" w:cs="Times New Roman"/>
          <w:b/>
          <w:bCs/>
          <w:sz w:val="24"/>
          <w:szCs w:val="24"/>
        </w:rPr>
        <w:t>7. Controlled vocabularies: consolidated reference</w:t>
      </w:r>
    </w:p>
    <w:p>
      <w:pPr>
        <w:pStyle w:val="Normal"/>
        <w:spacing w:lineRule="auto" w:line="240" w:before="0" w:after="120"/>
        <w:jc w:val="both"/>
        <w:rPr/>
      </w:pPr>
      <w:r>
        <w:rPr>
          <w:rFonts w:eastAsia="Times New Roman" w:cs="Times New Roman"/>
          <w:sz w:val="24"/>
          <w:szCs w:val="24"/>
        </w:rPr>
        <w:t>The architecture files use the following controlled vocabularies. Each is documented in the relevant column section above; this section provides a single consolidated reference.</w:t>
      </w:r>
    </w:p>
    <w:p>
      <w:pPr>
        <w:pStyle w:val="Normal"/>
        <w:spacing w:lineRule="auto" w:line="240" w:before="200" w:after="100"/>
        <w:jc w:val="start"/>
        <w:rPr/>
      </w:pPr>
      <w:r>
        <w:rPr>
          <w:rFonts w:eastAsia="Times New Roman" w:cs="Times New Roman"/>
          <w:b/>
          <w:bCs/>
          <w:i/>
          <w:iCs/>
          <w:sz w:val="24"/>
          <w:szCs w:val="24"/>
        </w:rPr>
        <w:t>7.1 risk_level</w:t>
      </w:r>
    </w:p>
    <w:p>
      <w:pPr>
        <w:pStyle w:val="Normal"/>
        <w:spacing w:lineRule="auto" w:line="240" w:before="0" w:after="100"/>
        <w:jc w:val="both"/>
        <w:rPr/>
      </w:pPr>
      <w:r>
        <w:rPr>
          <w:rFonts w:eastAsia="Times New Roman" w:cs="Times New Roman"/>
          <w:b/>
          <w:bCs/>
          <w:sz w:val="24"/>
          <w:szCs w:val="24"/>
        </w:rPr>
        <w:t xml:space="preserve">low. </w:t>
      </w:r>
      <w:r>
        <w:rPr>
          <w:rFonts w:eastAsia="Times New Roman" w:cs="Times New Roman"/>
          <w:sz w:val="24"/>
          <w:szCs w:val="24"/>
        </w:rPr>
        <w:t>also coded 1</w:t>
      </w:r>
    </w:p>
    <w:p>
      <w:pPr>
        <w:pStyle w:val="Normal"/>
        <w:spacing w:lineRule="auto" w:line="240" w:before="0" w:after="100"/>
        <w:jc w:val="both"/>
        <w:rPr/>
      </w:pPr>
      <w:r>
        <w:rPr>
          <w:rFonts w:eastAsia="Times New Roman" w:cs="Times New Roman"/>
          <w:b/>
          <w:bCs/>
          <w:sz w:val="24"/>
          <w:szCs w:val="24"/>
        </w:rPr>
        <w:t xml:space="preserve">medium. </w:t>
      </w:r>
      <w:r>
        <w:rPr>
          <w:rFonts w:eastAsia="Times New Roman" w:cs="Times New Roman"/>
          <w:sz w:val="24"/>
          <w:szCs w:val="24"/>
        </w:rPr>
        <w:t>also coded 2</w:t>
      </w:r>
    </w:p>
    <w:p>
      <w:pPr>
        <w:pStyle w:val="Normal"/>
        <w:spacing w:lineRule="auto" w:line="240" w:before="0" w:after="100"/>
        <w:jc w:val="both"/>
        <w:rPr/>
      </w:pPr>
      <w:r>
        <w:rPr>
          <w:rFonts w:eastAsia="Times New Roman" w:cs="Times New Roman"/>
          <w:b/>
          <w:bCs/>
          <w:sz w:val="24"/>
          <w:szCs w:val="24"/>
        </w:rPr>
        <w:t xml:space="preserve">high. </w:t>
      </w:r>
      <w:r>
        <w:rPr>
          <w:rFonts w:eastAsia="Times New Roman" w:cs="Times New Roman"/>
          <w:sz w:val="24"/>
          <w:szCs w:val="24"/>
        </w:rPr>
        <w:t>also coded 3</w:t>
      </w:r>
    </w:p>
    <w:p>
      <w:pPr>
        <w:pStyle w:val="Normal"/>
        <w:spacing w:lineRule="auto" w:line="240" w:before="0" w:after="100"/>
        <w:jc w:val="both"/>
        <w:rPr/>
      </w:pPr>
      <w:r>
        <w:rPr>
          <w:rFonts w:eastAsia="Times New Roman" w:cs="Times New Roman"/>
          <w:b/>
          <w:bCs/>
          <w:sz w:val="24"/>
          <w:szCs w:val="24"/>
        </w:rPr>
        <w:t xml:space="preserve">YA. </w:t>
      </w:r>
      <w:r>
        <w:rPr>
          <w:rFonts w:eastAsia="Times New Roman" w:cs="Times New Roman"/>
          <w:sz w:val="24"/>
          <w:szCs w:val="24"/>
        </w:rPr>
        <w:t>Young Adult overlay (UK and NL)</w:t>
      </w:r>
    </w:p>
    <w:p>
      <w:pPr>
        <w:pStyle w:val="Normal"/>
        <w:spacing w:lineRule="auto" w:line="240" w:before="0" w:after="100"/>
        <w:jc w:val="both"/>
        <w:rPr/>
      </w:pPr>
      <w:r>
        <w:rPr>
          <w:rFonts w:eastAsia="Times New Roman" w:cs="Times New Roman"/>
          <w:b/>
          <w:bCs/>
          <w:sz w:val="24"/>
          <w:szCs w:val="24"/>
        </w:rPr>
        <w:t xml:space="preserve">YA_18, YA_21. </w:t>
      </w:r>
      <w:r>
        <w:rPr>
          <w:rFonts w:eastAsia="Times New Roman" w:cs="Times New Roman"/>
          <w:sz w:val="24"/>
          <w:szCs w:val="24"/>
        </w:rPr>
        <w:t>UK Loss Limit only, sub-age-band overlays</w:t>
      </w:r>
    </w:p>
    <w:p>
      <w:pPr>
        <w:pStyle w:val="Normal"/>
        <w:spacing w:lineRule="auto" w:line="240" w:before="200" w:after="100"/>
        <w:jc w:val="start"/>
        <w:rPr/>
      </w:pPr>
      <w:r>
        <w:rPr>
          <w:rFonts w:eastAsia="Times New Roman" w:cs="Times New Roman"/>
          <w:b/>
          <w:bCs/>
          <w:i/>
          <w:iCs/>
          <w:sz w:val="24"/>
          <w:szCs w:val="24"/>
        </w:rPr>
        <w:t>7.2 specification_status</w:t>
      </w:r>
    </w:p>
    <w:p>
      <w:pPr>
        <w:pStyle w:val="Normal"/>
        <w:spacing w:lineRule="auto" w:line="240" w:before="0" w:after="100"/>
        <w:jc w:val="both"/>
        <w:rPr/>
      </w:pPr>
      <w:r>
        <w:rPr>
          <w:rFonts w:eastAsia="Times New Roman" w:cs="Times New Roman"/>
          <w:b/>
          <w:bCs/>
          <w:sz w:val="24"/>
          <w:szCs w:val="24"/>
        </w:rPr>
        <w:t xml:space="preserve">fully_specified. </w:t>
      </w:r>
      <w:r>
        <w:rPr>
          <w:rFonts w:eastAsia="Times New Roman" w:cs="Times New Roman"/>
          <w:sz w:val="24"/>
          <w:szCs w:val="24"/>
        </w:rPr>
        <w:t>variant has complete operational specification, including message copy where applicable</w:t>
      </w:r>
    </w:p>
    <w:p>
      <w:pPr>
        <w:pStyle w:val="Normal"/>
        <w:spacing w:lineRule="auto" w:line="240" w:before="0" w:after="100"/>
        <w:jc w:val="both"/>
        <w:rPr/>
      </w:pPr>
      <w:r>
        <w:rPr>
          <w:rFonts w:eastAsia="Times New Roman" w:cs="Times New Roman"/>
          <w:b/>
          <w:bCs/>
          <w:sz w:val="24"/>
          <w:szCs w:val="24"/>
        </w:rPr>
        <w:t xml:space="preserve">specified_not_built. </w:t>
      </w:r>
      <w:r>
        <w:rPr>
          <w:rFonts w:eastAsia="Times New Roman" w:cs="Times New Roman"/>
          <w:sz w:val="24"/>
          <w:szCs w:val="24"/>
        </w:rPr>
        <w:t>variant has complete operational specification but was not built within the project’s timeline</w:t>
      </w:r>
    </w:p>
    <w:p>
      <w:pPr>
        <w:pStyle w:val="Normal"/>
        <w:spacing w:lineRule="auto" w:line="240" w:before="200" w:after="100"/>
        <w:jc w:val="start"/>
        <w:rPr/>
      </w:pPr>
      <w:r>
        <w:rPr>
          <w:rFonts w:eastAsia="Times New Roman" w:cs="Times New Roman"/>
          <w:b/>
          <w:bCs/>
          <w:i/>
          <w:iCs/>
          <w:sz w:val="24"/>
          <w:szCs w:val="24"/>
        </w:rPr>
        <w:t>7.3 mandatory_optional</w:t>
      </w:r>
    </w:p>
    <w:p>
      <w:pPr>
        <w:pStyle w:val="Normal"/>
        <w:spacing w:lineRule="auto" w:line="240" w:before="0" w:after="100"/>
        <w:jc w:val="both"/>
        <w:rPr/>
      </w:pPr>
      <w:r>
        <w:rPr>
          <w:rFonts w:eastAsia="Times New Roman" w:cs="Times New Roman"/>
          <w:b/>
          <w:bCs/>
          <w:sz w:val="24"/>
          <w:szCs w:val="24"/>
        </w:rPr>
        <w:t xml:space="preserve">M. </w:t>
      </w:r>
      <w:r>
        <w:rPr>
          <w:rFonts w:eastAsia="Times New Roman" w:cs="Times New Roman"/>
          <w:sz w:val="24"/>
          <w:szCs w:val="24"/>
        </w:rPr>
        <w:t>Mandatory: tool required by jurisdiction-specific regulation or by IMS specification</w:t>
      </w:r>
    </w:p>
    <w:p>
      <w:pPr>
        <w:pStyle w:val="Normal"/>
        <w:spacing w:lineRule="auto" w:line="240" w:before="0" w:after="100"/>
        <w:jc w:val="both"/>
        <w:rPr/>
      </w:pPr>
      <w:r>
        <w:rPr>
          <w:rFonts w:eastAsia="Times New Roman" w:cs="Times New Roman"/>
          <w:b/>
          <w:bCs/>
          <w:sz w:val="24"/>
          <w:szCs w:val="24"/>
        </w:rPr>
        <w:t xml:space="preserve">O. </w:t>
      </w:r>
      <w:r>
        <w:rPr>
          <w:rFonts w:eastAsia="Times New Roman" w:cs="Times New Roman"/>
          <w:sz w:val="24"/>
          <w:szCs w:val="24"/>
        </w:rPr>
        <w:t>Optional / add-on: available as supplementary configuration but not required</w:t>
      </w:r>
    </w:p>
    <w:p>
      <w:pPr>
        <w:pStyle w:val="Normal"/>
        <w:spacing w:lineRule="auto" w:line="240" w:before="0" w:after="100"/>
        <w:jc w:val="both"/>
        <w:rPr/>
      </w:pPr>
      <w:r>
        <w:rPr>
          <w:rFonts w:eastAsia="Times New Roman" w:cs="Times New Roman"/>
          <w:b/>
          <w:bCs/>
          <w:sz w:val="24"/>
          <w:szCs w:val="24"/>
        </w:rPr>
        <w:t xml:space="preserve">M_overlay. </w:t>
      </w:r>
      <w:r>
        <w:rPr>
          <w:rFonts w:eastAsia="Times New Roman" w:cs="Times New Roman"/>
          <w:sz w:val="24"/>
          <w:szCs w:val="24"/>
        </w:rPr>
        <w:t>Mandatory Overlay Layer: rule-based override applied on top of standard tier configurations (used for YA tier and certain regulatory triggers)</w:t>
      </w:r>
    </w:p>
    <w:p>
      <w:pPr>
        <w:pStyle w:val="Normal"/>
        <w:spacing w:lineRule="auto" w:line="240" w:before="200" w:after="100"/>
        <w:jc w:val="start"/>
        <w:rPr/>
      </w:pPr>
      <w:r>
        <w:rPr>
          <w:rFonts w:eastAsia="Times New Roman" w:cs="Times New Roman"/>
          <w:b/>
          <w:bCs/>
          <w:i/>
          <w:iCs/>
          <w:sz w:val="24"/>
          <w:szCs w:val="24"/>
        </w:rPr>
        <w:t>7.4 content_type</w:t>
      </w:r>
    </w:p>
    <w:p>
      <w:pPr>
        <w:pStyle w:val="Normal"/>
        <w:spacing w:lineRule="auto" w:line="240" w:before="0" w:after="100"/>
        <w:jc w:val="both"/>
        <w:rPr/>
      </w:pPr>
      <w:r>
        <w:rPr>
          <w:rFonts w:eastAsia="Times New Roman" w:cs="Times New Roman"/>
          <w:b/>
          <w:bCs/>
          <w:sz w:val="24"/>
          <w:szCs w:val="24"/>
        </w:rPr>
        <w:t xml:space="preserve">PPF. </w:t>
      </w:r>
      <w:r>
        <w:rPr>
          <w:rFonts w:eastAsia="Times New Roman" w:cs="Times New Roman"/>
          <w:sz w:val="24"/>
          <w:szCs w:val="24"/>
        </w:rPr>
        <w:t>Personalised Player Feedback (player’s own data interpolated into copy)</w:t>
      </w:r>
    </w:p>
    <w:p>
      <w:pPr>
        <w:pStyle w:val="Normal"/>
        <w:spacing w:lineRule="auto" w:line="240" w:before="0" w:after="100"/>
        <w:jc w:val="both"/>
        <w:rPr/>
      </w:pPr>
      <w:r>
        <w:rPr>
          <w:rFonts w:eastAsia="Times New Roman" w:cs="Times New Roman"/>
          <w:b/>
          <w:bCs/>
          <w:sz w:val="24"/>
          <w:szCs w:val="24"/>
        </w:rPr>
        <w:t xml:space="preserve">EPF. </w:t>
      </w:r>
      <w:r>
        <w:rPr>
          <w:rFonts w:eastAsia="Times New Roman" w:cs="Times New Roman"/>
          <w:sz w:val="24"/>
          <w:szCs w:val="24"/>
        </w:rPr>
        <w:t>Enhanced Player Feedback (PPF plus algorithmic system-derived data)</w:t>
      </w:r>
    </w:p>
    <w:p>
      <w:pPr>
        <w:pStyle w:val="Normal"/>
        <w:spacing w:lineRule="auto" w:line="240" w:before="0" w:after="100"/>
        <w:jc w:val="both"/>
        <w:rPr/>
      </w:pPr>
      <w:r>
        <w:rPr>
          <w:rFonts w:eastAsia="Times New Roman" w:cs="Times New Roman"/>
          <w:b/>
          <w:bCs/>
          <w:sz w:val="24"/>
          <w:szCs w:val="24"/>
        </w:rPr>
        <w:t xml:space="preserve">unified. </w:t>
      </w:r>
      <w:r>
        <w:rPr>
          <w:rFonts w:eastAsia="Times New Roman" w:cs="Times New Roman"/>
          <w:sz w:val="24"/>
          <w:szCs w:val="24"/>
        </w:rPr>
        <w:t>used at R3 only; collapses PPF/EPF distinction into a single standardised content variant</w:t>
      </w:r>
    </w:p>
    <w:p>
      <w:pPr>
        <w:pStyle w:val="Normal"/>
        <w:spacing w:lineRule="auto" w:line="240" w:before="0" w:after="100"/>
        <w:jc w:val="both"/>
        <w:rPr/>
      </w:pPr>
      <w:r>
        <w:rPr>
          <w:rFonts w:eastAsia="Times New Roman" w:cs="Times New Roman"/>
          <w:b/>
          <w:bCs/>
          <w:sz w:val="24"/>
          <w:szCs w:val="24"/>
        </w:rPr>
        <w:t xml:space="preserve">cognitive_distractor_1, cognitive_distractor_2. </w:t>
      </w:r>
      <w:r>
        <w:rPr>
          <w:rFonts w:eastAsia="Times New Roman" w:cs="Times New Roman"/>
          <w:sz w:val="24"/>
          <w:szCs w:val="24"/>
        </w:rPr>
        <w:t>Session Cooldown only; non-gambling distractor content variants</w:t>
      </w:r>
    </w:p>
    <w:p>
      <w:pPr>
        <w:pStyle w:val="Normal"/>
        <w:spacing w:lineRule="auto" w:line="240" w:before="200" w:after="100"/>
        <w:jc w:val="start"/>
        <w:rPr/>
      </w:pPr>
      <w:r>
        <w:rPr>
          <w:rFonts w:eastAsia="Times New Roman" w:cs="Times New Roman"/>
          <w:b/>
          <w:bCs/>
          <w:i/>
          <w:iCs/>
          <w:sz w:val="24"/>
          <w:szCs w:val="24"/>
        </w:rPr>
        <w:t>7.5 limit_set_mode</w:t>
      </w:r>
    </w:p>
    <w:p>
      <w:pPr>
        <w:pStyle w:val="Normal"/>
        <w:spacing w:lineRule="auto" w:line="240" w:before="0" w:after="120"/>
        <w:jc w:val="both"/>
        <w:rPr/>
      </w:pPr>
      <w:r>
        <w:rPr>
          <w:rFonts w:eastAsia="Times New Roman" w:cs="Times New Roman"/>
          <w:sz w:val="24"/>
          <w:szCs w:val="24"/>
        </w:rPr>
        <w:t>UK uses 10 distinct modes; NL uses 3.</w:t>
      </w:r>
    </w:p>
    <w:p>
      <w:pPr>
        <w:pStyle w:val="Normal"/>
        <w:spacing w:lineRule="auto" w:line="240" w:before="0" w:after="100"/>
        <w:jc w:val="both"/>
        <w:rPr/>
      </w:pPr>
      <w:r>
        <w:rPr>
          <w:rFonts w:eastAsia="Times New Roman" w:cs="Times New Roman"/>
          <w:b/>
          <w:bCs/>
          <w:sz w:val="24"/>
          <w:szCs w:val="24"/>
        </w:rPr>
        <w:t xml:space="preserve">player_defined / player_defined_required. </w:t>
      </w:r>
      <w:r>
        <w:rPr>
          <w:rFonts w:eastAsia="Times New Roman" w:cs="Times New Roman"/>
          <w:sz w:val="24"/>
          <w:szCs w:val="24"/>
        </w:rPr>
        <w:t>full player control of limit value</w:t>
      </w:r>
    </w:p>
    <w:p>
      <w:pPr>
        <w:pStyle w:val="Normal"/>
        <w:spacing w:lineRule="auto" w:line="240" w:before="0" w:after="100"/>
        <w:jc w:val="both"/>
        <w:rPr/>
      </w:pPr>
      <w:r>
        <w:rPr>
          <w:rFonts w:eastAsia="Times New Roman" w:cs="Times New Roman"/>
          <w:b/>
          <w:bCs/>
          <w:sz w:val="24"/>
          <w:szCs w:val="24"/>
        </w:rPr>
        <w:t xml:space="preserve">player_choice / player_choice_15_30_45_60min. </w:t>
      </w:r>
      <w:r>
        <w:rPr>
          <w:rFonts w:eastAsia="Times New Roman" w:cs="Times New Roman"/>
          <w:sz w:val="24"/>
          <w:szCs w:val="24"/>
        </w:rPr>
        <w:t>player selects from constrained option set</w:t>
      </w:r>
    </w:p>
    <w:p>
      <w:pPr>
        <w:pStyle w:val="Normal"/>
        <w:spacing w:lineRule="auto" w:line="240" w:before="0" w:after="100"/>
        <w:jc w:val="both"/>
        <w:rPr/>
      </w:pPr>
      <w:r>
        <w:rPr>
          <w:rFonts w:eastAsia="Times New Roman" w:cs="Times New Roman"/>
          <w:b/>
          <w:bCs/>
          <w:sz w:val="24"/>
          <w:szCs w:val="24"/>
        </w:rPr>
        <w:t xml:space="preserve">player_elected_1_2_3hr_interval / player_elected_30_60CD / player_elected_30_60_90CD. </w:t>
      </w:r>
      <w:r>
        <w:rPr>
          <w:rFonts w:eastAsia="Times New Roman" w:cs="Times New Roman"/>
          <w:sz w:val="24"/>
          <w:szCs w:val="24"/>
        </w:rPr>
        <w:t>player elects from preset interval options (Session Cooldown only)</w:t>
      </w:r>
    </w:p>
    <w:p>
      <w:pPr>
        <w:pStyle w:val="Normal"/>
        <w:spacing w:lineRule="auto" w:line="240" w:before="0" w:after="100"/>
        <w:jc w:val="both"/>
        <w:rPr/>
      </w:pPr>
      <w:r>
        <w:rPr>
          <w:rFonts w:eastAsia="Times New Roman" w:cs="Times New Roman"/>
          <w:b/>
          <w:bCs/>
          <w:sz w:val="24"/>
          <w:szCs w:val="24"/>
        </w:rPr>
        <w:t xml:space="preserve">system_1.5x / system_1.5x_daily. </w:t>
      </w:r>
      <w:r>
        <w:rPr>
          <w:rFonts w:eastAsia="Times New Roman" w:cs="Times New Roman"/>
          <w:sz w:val="24"/>
          <w:szCs w:val="24"/>
        </w:rPr>
        <w:t>system-set adaptive limit at 1.5x recent average activity</w:t>
      </w:r>
    </w:p>
    <w:p>
      <w:pPr>
        <w:pStyle w:val="Normal"/>
        <w:spacing w:lineRule="auto" w:line="240" w:before="0" w:after="100"/>
        <w:jc w:val="both"/>
        <w:rPr/>
      </w:pPr>
      <w:r>
        <w:rPr>
          <w:rFonts w:eastAsia="Times New Roman" w:cs="Times New Roman"/>
          <w:b/>
          <w:bCs/>
          <w:sz w:val="24"/>
          <w:szCs w:val="24"/>
        </w:rPr>
        <w:t xml:space="preserve">system_enforced. </w:t>
      </w:r>
      <w:r>
        <w:rPr>
          <w:rFonts w:eastAsia="Times New Roman" w:cs="Times New Roman"/>
          <w:sz w:val="24"/>
          <w:szCs w:val="24"/>
        </w:rPr>
        <w:t>non-negotiable system-set value</w:t>
      </w:r>
    </w:p>
    <w:p>
      <w:pPr>
        <w:pStyle w:val="Normal"/>
        <w:spacing w:lineRule="auto" w:line="240" w:before="200" w:after="100"/>
        <w:jc w:val="start"/>
        <w:rPr/>
      </w:pPr>
      <w:r>
        <w:rPr>
          <w:rFonts w:eastAsia="Times New Roman" w:cs="Times New Roman"/>
          <w:b/>
          <w:bCs/>
          <w:i/>
          <w:iCs/>
          <w:sz w:val="24"/>
          <w:szCs w:val="24"/>
        </w:rPr>
        <w:t>7.6 exclusion_class</w:t>
      </w:r>
    </w:p>
    <w:p>
      <w:pPr>
        <w:pStyle w:val="Normal"/>
        <w:spacing w:lineRule="auto" w:line="240" w:before="0" w:after="100"/>
        <w:jc w:val="both"/>
        <w:rPr/>
      </w:pPr>
      <w:r>
        <w:rPr>
          <w:rFonts w:eastAsia="Times New Roman" w:cs="Times New Roman"/>
          <w:b/>
          <w:bCs/>
          <w:sz w:val="24"/>
          <w:szCs w:val="24"/>
        </w:rPr>
        <w:t xml:space="preserve">regulatory. </w:t>
      </w:r>
      <w:r>
        <w:rPr>
          <w:rFonts w:eastAsia="Times New Roman" w:cs="Times New Roman"/>
          <w:sz w:val="24"/>
          <w:szCs w:val="24"/>
        </w:rPr>
        <w:t>tool excluded because regulation prohibits or already supersedes it</w:t>
      </w:r>
    </w:p>
    <w:p>
      <w:pPr>
        <w:pStyle w:val="Normal"/>
        <w:spacing w:lineRule="auto" w:line="240" w:before="0" w:after="100"/>
        <w:jc w:val="both"/>
        <w:rPr/>
      </w:pPr>
      <w:r>
        <w:rPr>
          <w:rFonts w:eastAsia="Times New Roman" w:cs="Times New Roman"/>
          <w:b/>
          <w:bCs/>
          <w:sz w:val="24"/>
          <w:szCs w:val="24"/>
        </w:rPr>
        <w:t xml:space="preserve">operator. </w:t>
      </w:r>
      <w:r>
        <w:rPr>
          <w:rFonts w:eastAsia="Times New Roman" w:cs="Times New Roman"/>
          <w:sz w:val="24"/>
          <w:szCs w:val="24"/>
        </w:rPr>
        <w:t>tool excluded due to operator-specific business decisions</w:t>
      </w:r>
    </w:p>
    <w:p>
      <w:pPr>
        <w:pStyle w:val="Normal"/>
        <w:spacing w:lineRule="auto" w:line="240" w:before="0" w:after="100"/>
        <w:jc w:val="both"/>
        <w:rPr/>
      </w:pPr>
      <w:r>
        <w:rPr>
          <w:rFonts w:eastAsia="Times New Roman" w:cs="Times New Roman"/>
          <w:b/>
          <w:bCs/>
          <w:sz w:val="24"/>
          <w:szCs w:val="24"/>
        </w:rPr>
        <w:t xml:space="preserve">technical. </w:t>
      </w:r>
      <w:r>
        <w:rPr>
          <w:rFonts w:eastAsia="Times New Roman" w:cs="Times New Roman"/>
          <w:sz w:val="24"/>
          <w:szCs w:val="24"/>
        </w:rPr>
        <w:t>tool excluded due to infrastructure constraints</w:t>
      </w:r>
    </w:p>
    <w:p>
      <w:pPr>
        <w:pStyle w:val="Normal"/>
        <w:spacing w:lineRule="auto" w:line="240" w:before="0" w:after="100"/>
        <w:jc w:val="both"/>
        <w:rPr/>
      </w:pPr>
      <w:r>
        <w:rPr>
          <w:rFonts w:eastAsia="Times New Roman" w:cs="Times New Roman"/>
          <w:b/>
          <w:bCs/>
          <w:sz w:val="24"/>
          <w:szCs w:val="24"/>
        </w:rPr>
        <w:t xml:space="preserve">evidence. </w:t>
      </w:r>
      <w:r>
        <w:rPr>
          <w:rFonts w:eastAsia="Times New Roman" w:cs="Times New Roman"/>
          <w:sz w:val="24"/>
          <w:szCs w:val="24"/>
        </w:rPr>
        <w:t>tool excluded because evidence base did not support inclusion</w:t>
      </w:r>
    </w:p>
    <w:p>
      <w:pPr>
        <w:pStyle w:val="Normal"/>
        <w:spacing w:lineRule="auto" w:line="240" w:before="200" w:after="100"/>
        <w:jc w:val="start"/>
        <w:rPr/>
      </w:pPr>
      <w:r>
        <w:rPr>
          <w:rFonts w:eastAsia="Times New Roman" w:cs="Times New Roman"/>
          <w:b/>
          <w:bCs/>
          <w:i/>
          <w:iCs/>
          <w:sz w:val="24"/>
          <w:szCs w:val="24"/>
        </w:rPr>
        <w:t>7.7 status (policy_rules)</w:t>
      </w:r>
    </w:p>
    <w:p>
      <w:pPr>
        <w:pStyle w:val="Normal"/>
        <w:spacing w:lineRule="auto" w:line="240" w:before="0" w:after="100"/>
        <w:jc w:val="both"/>
        <w:rPr/>
      </w:pPr>
      <w:r>
        <w:rPr>
          <w:rFonts w:eastAsia="Times New Roman" w:cs="Times New Roman"/>
          <w:b/>
          <w:bCs/>
          <w:sz w:val="24"/>
          <w:szCs w:val="24"/>
        </w:rPr>
        <w:t xml:space="preserve">CONFIRMED. </w:t>
      </w:r>
      <w:r>
        <w:rPr>
          <w:rFonts w:eastAsia="Times New Roman" w:cs="Times New Roman"/>
          <w:sz w:val="24"/>
          <w:szCs w:val="24"/>
        </w:rPr>
        <w:t>operator-confirmed and signed off</w:t>
      </w:r>
    </w:p>
    <w:p>
      <w:pPr>
        <w:pStyle w:val="Normal"/>
        <w:spacing w:lineRule="auto" w:line="240" w:before="0" w:after="100"/>
        <w:jc w:val="both"/>
        <w:rPr/>
      </w:pPr>
      <w:r>
        <w:rPr>
          <w:rFonts w:eastAsia="Times New Roman" w:cs="Times New Roman"/>
          <w:b/>
          <w:bCs/>
          <w:sz w:val="24"/>
          <w:szCs w:val="24"/>
        </w:rPr>
        <w:t xml:space="preserve">NEEDS_CONFIRM. </w:t>
      </w:r>
      <w:r>
        <w:rPr>
          <w:rFonts w:eastAsia="Times New Roman" w:cs="Times New Roman"/>
          <w:sz w:val="24"/>
          <w:szCs w:val="24"/>
        </w:rPr>
        <w:t>provisional, awaiting operator sign-off</w:t>
      </w:r>
    </w:p>
    <w:p>
      <w:pPr>
        <w:pStyle w:val="Normal"/>
        <w:spacing w:lineRule="auto" w:line="240" w:before="200" w:after="100"/>
        <w:jc w:val="start"/>
        <w:rPr/>
      </w:pPr>
      <w:r>
        <w:rPr>
          <w:rFonts w:eastAsia="Times New Roman" w:cs="Times New Roman"/>
          <w:b/>
          <w:bCs/>
          <w:i/>
          <w:iCs/>
          <w:sz w:val="24"/>
          <w:szCs w:val="24"/>
        </w:rPr>
        <w:t>7.8 source (policy_rules)</w:t>
      </w:r>
    </w:p>
    <w:p>
      <w:pPr>
        <w:pStyle w:val="Normal"/>
        <w:spacing w:lineRule="auto" w:line="240" w:before="0" w:after="100"/>
        <w:jc w:val="both"/>
        <w:rPr/>
      </w:pPr>
      <w:r>
        <w:rPr>
          <w:rFonts w:eastAsia="Times New Roman" w:cs="Times New Roman"/>
          <w:b/>
          <w:bCs/>
          <w:sz w:val="24"/>
          <w:szCs w:val="24"/>
        </w:rPr>
        <w:t xml:space="preserve">Data. </w:t>
      </w:r>
      <w:r>
        <w:rPr>
          <w:rFonts w:eastAsia="Times New Roman" w:cs="Times New Roman"/>
          <w:sz w:val="24"/>
          <w:szCs w:val="24"/>
        </w:rPr>
        <w:t>empirical operator data</w:t>
      </w:r>
    </w:p>
    <w:p>
      <w:pPr>
        <w:pStyle w:val="Normal"/>
        <w:spacing w:lineRule="auto" w:line="240" w:before="0" w:after="100"/>
        <w:jc w:val="both"/>
        <w:rPr/>
      </w:pPr>
      <w:r>
        <w:rPr>
          <w:rFonts w:eastAsia="Times New Roman" w:cs="Times New Roman"/>
          <w:b/>
          <w:bCs/>
          <w:sz w:val="24"/>
          <w:szCs w:val="24"/>
        </w:rPr>
        <w:t xml:space="preserve">IMS_spec. </w:t>
      </w:r>
      <w:r>
        <w:rPr>
          <w:rFonts w:eastAsia="Times New Roman" w:cs="Times New Roman"/>
          <w:sz w:val="24"/>
          <w:szCs w:val="24"/>
        </w:rPr>
        <w:t>operator Internal Management System specification</w:t>
      </w:r>
    </w:p>
    <w:p>
      <w:pPr>
        <w:pStyle w:val="Normal"/>
        <w:spacing w:lineRule="auto" w:line="240" w:before="0" w:after="100"/>
        <w:jc w:val="both"/>
        <w:rPr/>
      </w:pPr>
      <w:r>
        <w:rPr>
          <w:rFonts w:eastAsia="Times New Roman" w:cs="Times New Roman"/>
          <w:b/>
          <w:bCs/>
          <w:sz w:val="24"/>
          <w:szCs w:val="24"/>
        </w:rPr>
        <w:t xml:space="preserve">IMS + Data. </w:t>
      </w:r>
      <w:r>
        <w:rPr>
          <w:rFonts w:eastAsia="Times New Roman" w:cs="Times New Roman"/>
          <w:sz w:val="24"/>
          <w:szCs w:val="24"/>
        </w:rPr>
        <w:t>combination</w:t>
      </w:r>
    </w:p>
    <w:p>
      <w:pPr>
        <w:pStyle w:val="Normal"/>
        <w:spacing w:lineRule="auto" w:line="240" w:before="0" w:after="100"/>
        <w:jc w:val="both"/>
        <w:rPr/>
      </w:pPr>
      <w:r>
        <w:rPr>
          <w:rFonts w:eastAsia="Times New Roman" w:cs="Times New Roman"/>
          <w:b/>
          <w:bCs/>
          <w:sz w:val="24"/>
          <w:szCs w:val="24"/>
        </w:rPr>
        <w:t xml:space="preserve">KOA_2021. </w:t>
      </w:r>
      <w:r>
        <w:rPr>
          <w:rFonts w:eastAsia="Times New Roman" w:cs="Times New Roman"/>
          <w:sz w:val="24"/>
          <w:szCs w:val="24"/>
        </w:rPr>
        <w:t>Dutch Remote Gambling Act 2021 (NL only)</w:t>
      </w:r>
    </w:p>
    <w:p>
      <w:pPr>
        <w:pStyle w:val="Normal"/>
        <w:spacing w:lineRule="auto" w:line="240" w:before="0" w:after="100"/>
        <w:jc w:val="both"/>
        <w:rPr/>
      </w:pPr>
      <w:r>
        <w:rPr>
          <w:rFonts w:eastAsia="Times New Roman" w:cs="Times New Roman"/>
          <w:b/>
          <w:bCs/>
          <w:sz w:val="24"/>
          <w:szCs w:val="24"/>
        </w:rPr>
        <w:t xml:space="preserve">KOA_2021 + IMS_spec. </w:t>
      </w:r>
      <w:r>
        <w:rPr>
          <w:rFonts w:eastAsia="Times New Roman" w:cs="Times New Roman"/>
          <w:sz w:val="24"/>
          <w:szCs w:val="24"/>
        </w:rPr>
        <w:t>combination (NL only)</w:t>
      </w:r>
    </w:p>
    <w:p>
      <w:pPr>
        <w:pStyle w:val="Normal"/>
        <w:spacing w:lineRule="auto" w:line="240" w:before="0" w:after="100"/>
        <w:jc w:val="both"/>
        <w:rPr/>
      </w:pPr>
      <w:r>
        <w:rPr>
          <w:rFonts w:eastAsia="Times New Roman" w:cs="Times New Roman"/>
          <w:b/>
          <w:bCs/>
          <w:sz w:val="24"/>
          <w:szCs w:val="24"/>
        </w:rPr>
        <w:t xml:space="preserve">LCCP. </w:t>
      </w:r>
      <w:r>
        <w:rPr>
          <w:rFonts w:eastAsia="Times New Roman" w:cs="Times New Roman"/>
          <w:sz w:val="24"/>
          <w:szCs w:val="24"/>
        </w:rPr>
        <w:t>UK Licence Conditions and Codes of Practice (UK only)</w:t>
      </w:r>
    </w:p>
    <w:p>
      <w:pPr>
        <w:pStyle w:val="Normal"/>
        <w:spacing w:lineRule="auto" w:line="240" w:before="0" w:after="100"/>
        <w:jc w:val="both"/>
        <w:rPr/>
      </w:pPr>
      <w:r>
        <w:rPr>
          <w:rFonts w:eastAsia="Times New Roman" w:cs="Times New Roman"/>
          <w:b/>
          <w:bCs/>
          <w:sz w:val="24"/>
          <w:szCs w:val="24"/>
        </w:rPr>
        <w:t xml:space="preserve">HC_voluntary_2022. </w:t>
      </w:r>
      <w:r>
        <w:rPr>
          <w:rFonts w:eastAsia="Times New Roman" w:cs="Times New Roman"/>
          <w:sz w:val="24"/>
          <w:szCs w:val="24"/>
        </w:rPr>
        <w:t>Holland Casino voluntary commitment (NL only)</w:t>
      </w:r>
    </w:p>
    <w:p>
      <w:pPr>
        <w:pStyle w:val="Normal"/>
        <w:spacing w:lineRule="auto" w:line="240" w:before="0" w:after="100"/>
        <w:jc w:val="both"/>
        <w:rPr/>
      </w:pPr>
      <w:r>
        <w:rPr>
          <w:rFonts w:eastAsia="Times New Roman" w:cs="Times New Roman"/>
          <w:b/>
          <w:bCs/>
          <w:sz w:val="24"/>
          <w:szCs w:val="24"/>
        </w:rPr>
        <w:t xml:space="preserve">refresh_calendar. </w:t>
      </w:r>
      <w:r>
        <w:rPr>
          <w:rFonts w:eastAsia="Times New Roman" w:cs="Times New Roman"/>
          <w:sz w:val="24"/>
          <w:szCs w:val="24"/>
        </w:rPr>
        <w:t>refresh event calendar reference</w:t>
      </w:r>
    </w:p>
    <w:p>
      <w:pPr>
        <w:pStyle w:val="Normal"/>
        <w:spacing w:lineRule="auto" w:line="240" w:before="200" w:after="100"/>
        <w:jc w:val="start"/>
        <w:rPr/>
      </w:pPr>
      <w:r>
        <w:rPr>
          <w:rFonts w:eastAsia="Times New Roman" w:cs="Times New Roman"/>
          <w:b/>
          <w:bCs/>
          <w:i/>
          <w:iCs/>
          <w:sz w:val="24"/>
          <w:szCs w:val="24"/>
        </w:rPr>
        <w:t>7.9 message_surface</w:t>
      </w:r>
    </w:p>
    <w:p>
      <w:pPr>
        <w:pStyle w:val="Normal"/>
        <w:spacing w:lineRule="auto" w:line="240" w:before="0" w:after="100"/>
        <w:jc w:val="both"/>
        <w:rPr/>
      </w:pPr>
      <w:r>
        <w:rPr>
          <w:rFonts w:eastAsia="Times New Roman" w:cs="Times New Roman"/>
          <w:b/>
          <w:bCs/>
          <w:sz w:val="24"/>
          <w:szCs w:val="24"/>
        </w:rPr>
        <w:t xml:space="preserve">modal_popup. </w:t>
      </w:r>
      <w:r>
        <w:rPr>
          <w:rFonts w:eastAsia="Times New Roman" w:cs="Times New Roman"/>
          <w:sz w:val="24"/>
          <w:szCs w:val="24"/>
        </w:rPr>
        <w:t>interruptive overlay requiring player interaction</w:t>
      </w:r>
    </w:p>
    <w:p>
      <w:pPr>
        <w:pStyle w:val="Normal"/>
        <w:spacing w:lineRule="auto" w:line="240" w:before="0" w:after="100"/>
        <w:jc w:val="both"/>
        <w:rPr/>
      </w:pPr>
      <w:r>
        <w:rPr>
          <w:rFonts w:eastAsia="Times New Roman" w:cs="Times New Roman"/>
          <w:b/>
          <w:bCs/>
          <w:sz w:val="24"/>
          <w:szCs w:val="24"/>
        </w:rPr>
        <w:t xml:space="preserve">toast. </w:t>
      </w:r>
      <w:r>
        <w:rPr>
          <w:rFonts w:eastAsia="Times New Roman" w:cs="Times New Roman"/>
          <w:sz w:val="24"/>
          <w:szCs w:val="24"/>
        </w:rPr>
        <w:t>non-interruptive notification</w:t>
      </w:r>
    </w:p>
    <w:p>
      <w:pPr>
        <w:pStyle w:val="Normal"/>
        <w:spacing w:lineRule="auto" w:line="240" w:before="0" w:after="100"/>
        <w:jc w:val="both"/>
        <w:rPr/>
      </w:pPr>
      <w:r>
        <w:rPr>
          <w:rFonts w:eastAsia="Times New Roman" w:cs="Times New Roman"/>
          <w:b/>
          <w:bCs/>
          <w:sz w:val="24"/>
          <w:szCs w:val="24"/>
        </w:rPr>
        <w:t xml:space="preserve">static_page. </w:t>
      </w:r>
      <w:r>
        <w:rPr>
          <w:rFonts w:eastAsia="Times New Roman" w:cs="Times New Roman"/>
          <w:sz w:val="24"/>
          <w:szCs w:val="24"/>
        </w:rPr>
        <w:t>non-interruptive informational content</w:t>
      </w:r>
    </w:p>
    <w:p>
      <w:pPr>
        <w:pStyle w:val="Normal"/>
        <w:spacing w:lineRule="auto" w:line="240" w:before="0" w:after="100"/>
        <w:jc w:val="both"/>
        <w:rPr/>
      </w:pPr>
      <w:r>
        <w:rPr>
          <w:rFonts w:eastAsia="Times New Roman" w:cs="Times New Roman"/>
          <w:b/>
          <w:bCs/>
          <w:sz w:val="24"/>
          <w:szCs w:val="24"/>
        </w:rPr>
        <w:t xml:space="preserve">error_message. </w:t>
      </w:r>
      <w:r>
        <w:rPr>
          <w:rFonts w:eastAsia="Times New Roman" w:cs="Times New Roman"/>
          <w:sz w:val="24"/>
          <w:szCs w:val="24"/>
        </w:rPr>
        <w:t>system error indication</w:t>
      </w:r>
    </w:p>
    <w:p>
      <w:pPr>
        <w:pStyle w:val="Normal"/>
        <w:spacing w:lineRule="auto" w:line="240" w:before="200" w:after="100"/>
        <w:jc w:val="start"/>
        <w:rPr/>
      </w:pPr>
      <w:r>
        <w:rPr>
          <w:rFonts w:eastAsia="Times New Roman" w:cs="Times New Roman"/>
          <w:b/>
          <w:bCs/>
          <w:i/>
          <w:iCs/>
          <w:sz w:val="24"/>
          <w:szCs w:val="24"/>
        </w:rPr>
        <w:t>7.10 closure_type</w:t>
      </w:r>
    </w:p>
    <w:p>
      <w:pPr>
        <w:pStyle w:val="Normal"/>
        <w:spacing w:lineRule="auto" w:line="240" w:before="0" w:after="100"/>
        <w:jc w:val="both"/>
        <w:rPr/>
      </w:pPr>
      <w:r>
        <w:rPr>
          <w:rFonts w:eastAsia="Times New Roman" w:cs="Times New Roman"/>
          <w:b/>
          <w:bCs/>
          <w:sz w:val="24"/>
          <w:szCs w:val="24"/>
        </w:rPr>
        <w:t xml:space="preserve">manual_close_exit_icon. </w:t>
      </w:r>
      <w:r>
        <w:rPr>
          <w:rFonts w:eastAsia="Times New Roman" w:cs="Times New Roman"/>
          <w:sz w:val="24"/>
          <w:szCs w:val="24"/>
        </w:rPr>
        <w:t>player closes via exit icon</w:t>
      </w:r>
    </w:p>
    <w:p>
      <w:pPr>
        <w:pStyle w:val="Normal"/>
        <w:spacing w:lineRule="auto" w:line="240" w:before="0" w:after="100"/>
        <w:jc w:val="both"/>
        <w:rPr/>
      </w:pPr>
      <w:r>
        <w:rPr>
          <w:rFonts w:eastAsia="Times New Roman" w:cs="Times New Roman"/>
          <w:b/>
          <w:bCs/>
          <w:sz w:val="24"/>
          <w:szCs w:val="24"/>
        </w:rPr>
        <w:t xml:space="preserve">auto_close_or_dismiss. </w:t>
      </w:r>
      <w:r>
        <w:rPr>
          <w:rFonts w:eastAsia="Times New Roman" w:cs="Times New Roman"/>
          <w:sz w:val="24"/>
          <w:szCs w:val="24"/>
        </w:rPr>
        <w:t>message dismisses automatically or via passive dismissal</w:t>
      </w:r>
    </w:p>
    <w:p>
      <w:pPr>
        <w:pStyle w:val="Normal"/>
        <w:spacing w:lineRule="auto" w:line="240" w:before="0" w:after="100"/>
        <w:jc w:val="both"/>
        <w:rPr/>
      </w:pPr>
      <w:r>
        <w:rPr>
          <w:rFonts w:eastAsia="Times New Roman" w:cs="Times New Roman"/>
          <w:b/>
          <w:bCs/>
          <w:sz w:val="24"/>
          <w:szCs w:val="24"/>
        </w:rPr>
        <w:t xml:space="preserve">manual_close_required_action. </w:t>
      </w:r>
      <w:r>
        <w:rPr>
          <w:rFonts w:eastAsia="Times New Roman" w:cs="Times New Roman"/>
          <w:sz w:val="24"/>
          <w:szCs w:val="24"/>
        </w:rPr>
        <w:t>player must take a specific action to close</w:t>
      </w:r>
    </w:p>
    <w:p>
      <w:pPr>
        <w:pStyle w:val="Normal"/>
        <w:spacing w:lineRule="auto" w:line="240" w:before="200" w:after="100"/>
        <w:jc w:val="start"/>
        <w:rPr/>
      </w:pPr>
      <w:r>
        <w:rPr>
          <w:rFonts w:eastAsia="Times New Roman" w:cs="Times New Roman"/>
          <w:b/>
          <w:bCs/>
          <w:i/>
          <w:iCs/>
          <w:sz w:val="24"/>
          <w:szCs w:val="24"/>
        </w:rPr>
        <w:t>7.11 message_sender</w:t>
      </w:r>
    </w:p>
    <w:p>
      <w:pPr>
        <w:pStyle w:val="Normal"/>
        <w:spacing w:lineRule="auto" w:line="240" w:before="0" w:after="100"/>
        <w:jc w:val="both"/>
        <w:rPr/>
      </w:pPr>
      <w:r>
        <w:rPr>
          <w:rFonts w:eastAsia="Times New Roman" w:cs="Times New Roman"/>
          <w:b/>
          <w:bCs/>
          <w:sz w:val="24"/>
          <w:szCs w:val="24"/>
        </w:rPr>
        <w:t xml:space="preserve">IMS. </w:t>
      </w:r>
      <w:r>
        <w:rPr>
          <w:rFonts w:eastAsia="Times New Roman" w:cs="Times New Roman"/>
          <w:sz w:val="24"/>
          <w:szCs w:val="24"/>
        </w:rPr>
        <w:t>Internal Management System (regulated/compliance messaging)</w:t>
      </w:r>
    </w:p>
    <w:p>
      <w:pPr>
        <w:pStyle w:val="Normal"/>
        <w:spacing w:lineRule="auto" w:line="240" w:before="0" w:after="100"/>
        <w:jc w:val="both"/>
        <w:rPr/>
      </w:pPr>
      <w:r>
        <w:rPr>
          <w:rFonts w:eastAsia="Times New Roman" w:cs="Times New Roman"/>
          <w:b/>
          <w:bCs/>
          <w:sz w:val="24"/>
          <w:szCs w:val="24"/>
        </w:rPr>
        <w:t xml:space="preserve">Engagement. </w:t>
      </w:r>
      <w:r>
        <w:rPr>
          <w:rFonts w:eastAsia="Times New Roman" w:cs="Times New Roman"/>
          <w:sz w:val="24"/>
          <w:szCs w:val="24"/>
        </w:rPr>
        <w:t>Engagement/CRM layer (voluntary/educational messaging)</w:t>
      </w:r>
    </w:p>
    <w:p>
      <w:pPr>
        <w:pStyle w:val="Normal"/>
        <w:spacing w:lineRule="auto" w:line="240" w:before="280" w:after="120"/>
        <w:jc w:val="start"/>
        <w:rPr/>
      </w:pPr>
      <w:r>
        <w:rPr>
          <w:rFonts w:eastAsia="Times New Roman" w:cs="Times New Roman"/>
          <w:b/>
          <w:bCs/>
          <w:sz w:val="24"/>
          <w:szCs w:val="24"/>
        </w:rPr>
        <w:t>8. Cross-jurisdictional differences</w:t>
      </w:r>
    </w:p>
    <w:p>
      <w:pPr>
        <w:pStyle w:val="Normal"/>
        <w:spacing w:lineRule="auto" w:line="240" w:before="0" w:after="120"/>
        <w:jc w:val="both"/>
        <w:rPr/>
      </w:pPr>
      <w:r>
        <w:rPr>
          <w:rFonts w:eastAsia="Times New Roman" w:cs="Times New Roman"/>
          <w:sz w:val="24"/>
          <w:szCs w:val="24"/>
        </w:rPr>
        <w:t>This section provides a structural reference for cross-jurisdictional differences in tool inventory, variant counts, and parameter values. The methodological framing of these differences (regulatory rigidity vs operator discretion, sources of parameter variation, exclusion logic) is documented in 05.4 Section 8.</w:t>
      </w:r>
    </w:p>
    <w:p>
      <w:pPr>
        <w:pStyle w:val="Normal"/>
        <w:spacing w:lineRule="auto" w:line="240" w:before="200" w:after="100"/>
        <w:jc w:val="start"/>
        <w:rPr/>
      </w:pPr>
      <w:r>
        <w:rPr>
          <w:rFonts w:eastAsia="Times New Roman" w:cs="Times New Roman"/>
          <w:b/>
          <w:bCs/>
          <w:i/>
          <w:iCs/>
          <w:sz w:val="24"/>
          <w:szCs w:val="24"/>
        </w:rPr>
        <w:t>8.1 Tool inventory</w:t>
      </w:r>
    </w:p>
    <w:tbl>
      <w:tblPr>
        <w:tblW w:w="9638" w:type="dxa"/>
        <w:jc w:val="start"/>
        <w:tblInd w:w="0" w:type="dxa"/>
        <w:tblLayout w:type="fixed"/>
        <w:tblCellMar>
          <w:top w:w="60" w:type="dxa"/>
          <w:start w:w="100" w:type="dxa"/>
          <w:bottom w:w="60" w:type="dxa"/>
          <w:end w:w="100" w:type="dxa"/>
        </w:tblCellMar>
      </w:tblPr>
      <w:tblGrid>
        <w:gridCol w:w="2399"/>
        <w:gridCol w:w="7239"/>
      </w:tblGrid>
      <w:tr>
        <w:trPr/>
        <w:tc>
          <w:tcPr>
            <w:tcW w:w="2399" w:type="dxa"/>
            <w:tcBorders>
              <w:top w:val="single" w:sz="8" w:space="0" w:color="000000"/>
            </w:tcBorders>
          </w:tcPr>
          <w:p>
            <w:pPr>
              <w:pStyle w:val="Normal"/>
              <w:spacing w:lineRule="auto" w:line="240" w:before="0" w:after="0"/>
              <w:jc w:val="start"/>
              <w:rPr/>
            </w:pPr>
            <w:r>
              <w:rPr>
                <w:rFonts w:eastAsia="Times New Roman" w:cs="Times New Roman"/>
                <w:b/>
                <w:bCs/>
                <w:sz w:val="20"/>
                <w:szCs w:val="20"/>
              </w:rPr>
              <w:t>Shared (n=12)</w:t>
            </w:r>
          </w:p>
        </w:tc>
        <w:tc>
          <w:tcPr>
            <w:tcW w:w="7239" w:type="dxa"/>
            <w:tcBorders>
              <w:top w:val="single" w:sz="8" w:space="0" w:color="000000"/>
            </w:tcBorders>
          </w:tcPr>
          <w:p>
            <w:pPr>
              <w:pStyle w:val="Normal"/>
              <w:spacing w:lineRule="auto" w:line="240" w:before="0" w:after="0"/>
              <w:jc w:val="start"/>
              <w:rPr/>
            </w:pPr>
            <w:r>
              <w:rPr>
                <w:rFonts w:eastAsia="Times New Roman" w:cs="Times New Roman"/>
                <w:sz w:val="20"/>
                <w:szCs w:val="20"/>
              </w:rPr>
              <w:t>Deposit Limit, Loss Limit, Bet Limit, Login/Playtime Limit, Deposit Count Limit, Scheduled Break, Reality Check, Session Cooldown, RG Homepage, Cheat Sheet, Positive Play Self-Assessment, Dark Flow Self-Assessment</w:t>
            </w:r>
          </w:p>
        </w:tc>
      </w:tr>
      <w:tr>
        <w:trPr/>
        <w:tc>
          <w:tcPr>
            <w:tcW w:w="2399" w:type="dxa"/>
            <w:tcBorders/>
          </w:tcPr>
          <w:p>
            <w:pPr>
              <w:pStyle w:val="Normal"/>
              <w:spacing w:lineRule="auto" w:line="240" w:before="0" w:after="0"/>
              <w:jc w:val="start"/>
              <w:rPr/>
            </w:pPr>
            <w:r>
              <w:rPr>
                <w:rFonts w:eastAsia="Times New Roman" w:cs="Times New Roman"/>
                <w:b/>
                <w:bCs/>
                <w:sz w:val="20"/>
                <w:szCs w:val="20"/>
              </w:rPr>
              <w:t>UK only</w:t>
            </w:r>
          </w:p>
        </w:tc>
        <w:tc>
          <w:tcPr>
            <w:tcW w:w="7239" w:type="dxa"/>
            <w:tcBorders/>
          </w:tcPr>
          <w:p>
            <w:pPr>
              <w:pStyle w:val="Normal"/>
              <w:spacing w:lineRule="auto" w:line="240" w:before="0" w:after="0"/>
              <w:jc w:val="start"/>
              <w:rPr/>
            </w:pPr>
            <w:r>
              <w:rPr>
                <w:rFonts w:eastAsia="Times New Roman" w:cs="Times New Roman"/>
                <w:sz w:val="20"/>
                <w:szCs w:val="20"/>
              </w:rPr>
              <w:t>Bonus Ban, Promo Ban (excluded from NL on regulatory grounds: KOA 2021 already restricts bonuses)</w:t>
            </w:r>
          </w:p>
        </w:tc>
      </w:tr>
      <w:tr>
        <w:trPr/>
        <w:tc>
          <w:tcPr>
            <w:tcW w:w="2399"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NL only</w:t>
            </w:r>
          </w:p>
        </w:tc>
        <w:tc>
          <w:tcPr>
            <w:tcW w:w="7239" w:type="dxa"/>
            <w:tcBorders>
              <w:bottom w:val="single" w:sz="8" w:space="0" w:color="000000"/>
            </w:tcBorders>
          </w:tcPr>
          <w:p>
            <w:pPr>
              <w:pStyle w:val="Normal"/>
              <w:spacing w:lineRule="auto" w:line="240" w:before="0" w:after="0"/>
              <w:jc w:val="start"/>
              <w:rPr/>
            </w:pPr>
            <w:r>
              <w:rPr>
                <w:rFonts w:eastAsia="Times New Roman" w:cs="Times New Roman"/>
                <w:sz w:val="20"/>
                <w:szCs w:val="20"/>
              </w:rPr>
              <w:t>Automatic Withdrawal Limit (AWL); excluded from UK on technical grounds (UK banking infrastructure)</w:t>
            </w:r>
          </w:p>
        </w:tc>
      </w:tr>
    </w:tbl>
    <w:p>
      <w:pPr>
        <w:pStyle w:val="Normal"/>
        <w:spacing w:lineRule="auto" w:line="240" w:before="0" w:after="0"/>
        <w:rPr/>
      </w:pPr>
      <w:r>
        <w:rPr/>
      </w:r>
    </w:p>
    <w:p>
      <w:pPr>
        <w:pStyle w:val="Normal"/>
        <w:spacing w:lineRule="auto" w:line="240" w:before="200" w:after="100"/>
        <w:jc w:val="start"/>
        <w:rPr/>
      </w:pPr>
      <w:r>
        <w:rPr>
          <w:rFonts w:eastAsia="Times New Roman" w:cs="Times New Roman"/>
          <w:b/>
          <w:bCs/>
          <w:i/>
          <w:iCs/>
          <w:sz w:val="24"/>
          <w:szCs w:val="24"/>
        </w:rPr>
        <w:t>8.2 Variant counts</w:t>
      </w:r>
    </w:p>
    <w:tbl>
      <w:tblPr>
        <w:tblW w:w="9638" w:type="dxa"/>
        <w:jc w:val="start"/>
        <w:tblInd w:w="0" w:type="dxa"/>
        <w:tblLayout w:type="fixed"/>
        <w:tblCellMar>
          <w:top w:w="60" w:type="dxa"/>
          <w:start w:w="100" w:type="dxa"/>
          <w:bottom w:w="60" w:type="dxa"/>
          <w:end w:w="100" w:type="dxa"/>
        </w:tblCellMar>
      </w:tblPr>
      <w:tblGrid>
        <w:gridCol w:w="2399"/>
        <w:gridCol w:w="7239"/>
      </w:tblGrid>
      <w:tr>
        <w:trPr/>
        <w:tc>
          <w:tcPr>
            <w:tcW w:w="2399" w:type="dxa"/>
            <w:tcBorders>
              <w:top w:val="single" w:sz="8" w:space="0" w:color="000000"/>
            </w:tcBorders>
          </w:tcPr>
          <w:p>
            <w:pPr>
              <w:pStyle w:val="Normal"/>
              <w:spacing w:lineRule="auto" w:line="240" w:before="0" w:after="0"/>
              <w:jc w:val="start"/>
              <w:rPr/>
            </w:pPr>
            <w:r>
              <w:rPr>
                <w:rFonts w:eastAsia="Times New Roman" w:cs="Times New Roman"/>
                <w:b/>
                <w:bCs/>
                <w:sz w:val="20"/>
                <w:szCs w:val="20"/>
              </w:rPr>
              <w:t>UK</w:t>
            </w:r>
          </w:p>
        </w:tc>
        <w:tc>
          <w:tcPr>
            <w:tcW w:w="7239" w:type="dxa"/>
            <w:tcBorders>
              <w:top w:val="single" w:sz="8" w:space="0" w:color="000000"/>
            </w:tcBorders>
          </w:tcPr>
          <w:p>
            <w:pPr>
              <w:pStyle w:val="Normal"/>
              <w:spacing w:lineRule="auto" w:line="240" w:before="0" w:after="0"/>
              <w:jc w:val="start"/>
              <w:rPr/>
            </w:pPr>
            <w:r>
              <w:rPr>
                <w:rFonts w:eastAsia="Times New Roman" w:cs="Times New Roman"/>
                <w:sz w:val="20"/>
                <w:szCs w:val="20"/>
              </w:rPr>
              <w:t>94 variants across 14 tools</w:t>
            </w:r>
          </w:p>
        </w:tc>
      </w:tr>
      <w:tr>
        <w:trPr/>
        <w:tc>
          <w:tcPr>
            <w:tcW w:w="2399" w:type="dxa"/>
            <w:tcBorders/>
          </w:tcPr>
          <w:p>
            <w:pPr>
              <w:pStyle w:val="Normal"/>
              <w:spacing w:lineRule="auto" w:line="240" w:before="0" w:after="0"/>
              <w:jc w:val="start"/>
              <w:rPr/>
            </w:pPr>
            <w:r>
              <w:rPr>
                <w:rFonts w:eastAsia="Times New Roman" w:cs="Times New Roman"/>
                <w:b/>
                <w:bCs/>
                <w:sz w:val="20"/>
                <w:szCs w:val="20"/>
              </w:rPr>
              <w:t>NL</w:t>
            </w:r>
          </w:p>
        </w:tc>
        <w:tc>
          <w:tcPr>
            <w:tcW w:w="7239" w:type="dxa"/>
            <w:tcBorders/>
          </w:tcPr>
          <w:p>
            <w:pPr>
              <w:pStyle w:val="Normal"/>
              <w:spacing w:lineRule="auto" w:line="240" w:before="0" w:after="0"/>
              <w:jc w:val="start"/>
              <w:rPr/>
            </w:pPr>
            <w:r>
              <w:rPr>
                <w:rFonts w:eastAsia="Times New Roman" w:cs="Times New Roman"/>
                <w:sz w:val="20"/>
                <w:szCs w:val="20"/>
              </w:rPr>
              <w:t>87 variants across 13 tools</w:t>
            </w:r>
          </w:p>
        </w:tc>
      </w:tr>
      <w:tr>
        <w:trPr/>
        <w:tc>
          <w:tcPr>
            <w:tcW w:w="2399"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Variant count parity by tool</w:t>
            </w:r>
          </w:p>
        </w:tc>
        <w:tc>
          <w:tcPr>
            <w:tcW w:w="7239" w:type="dxa"/>
            <w:tcBorders>
              <w:bottom w:val="single" w:sz="8" w:space="0" w:color="000000"/>
            </w:tcBorders>
          </w:tcPr>
          <w:p>
            <w:pPr>
              <w:pStyle w:val="Normal"/>
              <w:spacing w:lineRule="auto" w:line="240" w:before="0" w:after="0"/>
              <w:jc w:val="start"/>
              <w:rPr/>
            </w:pPr>
            <w:r>
              <w:rPr>
                <w:rFonts w:eastAsia="Times New Roman" w:cs="Times New Roman"/>
                <w:sz w:val="20"/>
                <w:szCs w:val="20"/>
              </w:rPr>
              <w:t>10 of 12 shared tools have identical variant counts in both architectures. Two diverge: Loss Limit (UK 12, NL 8); Login/Playtime Limit (UK 6, NL 8).</w:t>
            </w:r>
          </w:p>
        </w:tc>
      </w:tr>
    </w:tbl>
    <w:p>
      <w:pPr>
        <w:pStyle w:val="Normal"/>
        <w:spacing w:lineRule="auto" w:line="240" w:before="0" w:after="0"/>
        <w:rPr/>
      </w:pPr>
      <w:r>
        <w:rPr/>
      </w:r>
    </w:p>
    <w:p>
      <w:pPr>
        <w:pStyle w:val="Normal"/>
        <w:spacing w:lineRule="auto" w:line="240" w:before="200" w:after="100"/>
        <w:jc w:val="start"/>
        <w:rPr/>
      </w:pPr>
      <w:r>
        <w:rPr>
          <w:rFonts w:eastAsia="Times New Roman" w:cs="Times New Roman"/>
          <w:b/>
          <w:bCs/>
          <w:i/>
          <w:iCs/>
          <w:sz w:val="24"/>
          <w:szCs w:val="24"/>
        </w:rPr>
        <w:t>8.3 Parameter divergence</w:t>
      </w:r>
    </w:p>
    <w:tbl>
      <w:tblPr>
        <w:tblW w:w="9638" w:type="dxa"/>
        <w:jc w:val="start"/>
        <w:tblInd w:w="0" w:type="dxa"/>
        <w:tblLayout w:type="fixed"/>
        <w:tblCellMar>
          <w:top w:w="60" w:type="dxa"/>
          <w:start w:w="100" w:type="dxa"/>
          <w:bottom w:w="60" w:type="dxa"/>
          <w:end w:w="100" w:type="dxa"/>
        </w:tblCellMar>
      </w:tblPr>
      <w:tblGrid>
        <w:gridCol w:w="2399"/>
        <w:gridCol w:w="7239"/>
      </w:tblGrid>
      <w:tr>
        <w:trPr/>
        <w:tc>
          <w:tcPr>
            <w:tcW w:w="2399" w:type="dxa"/>
            <w:tcBorders>
              <w:top w:val="single" w:sz="8" w:space="0" w:color="000000"/>
            </w:tcBorders>
          </w:tcPr>
          <w:p>
            <w:pPr>
              <w:pStyle w:val="Normal"/>
              <w:spacing w:lineRule="auto" w:line="240" w:before="0" w:after="0"/>
              <w:jc w:val="start"/>
              <w:rPr/>
            </w:pPr>
            <w:r>
              <w:rPr>
                <w:rFonts w:eastAsia="Times New Roman" w:cs="Times New Roman"/>
                <w:b/>
                <w:bCs/>
                <w:sz w:val="20"/>
                <w:szCs w:val="20"/>
              </w:rPr>
              <w:t>Increase cooldown (hours)</w:t>
            </w:r>
          </w:p>
        </w:tc>
        <w:tc>
          <w:tcPr>
            <w:tcW w:w="7239" w:type="dxa"/>
            <w:tcBorders>
              <w:top w:val="single" w:sz="8" w:space="0" w:color="000000"/>
            </w:tcBorders>
          </w:tcPr>
          <w:p>
            <w:pPr>
              <w:pStyle w:val="Normal"/>
              <w:spacing w:lineRule="auto" w:line="240" w:before="0" w:after="0"/>
              <w:jc w:val="start"/>
              <w:rPr/>
            </w:pPr>
            <w:r>
              <w:rPr>
                <w:rFonts w:eastAsia="Times New Roman" w:cs="Times New Roman"/>
                <w:sz w:val="20"/>
                <w:szCs w:val="20"/>
              </w:rPr>
              <w:t>UK uses 6 distinct values (24h, 48h, none, disable_24h, disable_24h_daily_168h_weekly, and cannot-disable at R3); NL uniformly applies 168h across all tiers.</w:t>
            </w:r>
          </w:p>
        </w:tc>
      </w:tr>
      <w:tr>
        <w:trPr/>
        <w:tc>
          <w:tcPr>
            <w:tcW w:w="2399" w:type="dxa"/>
            <w:tcBorders/>
          </w:tcPr>
          <w:p>
            <w:pPr>
              <w:pStyle w:val="Normal"/>
              <w:spacing w:lineRule="auto" w:line="240" w:before="0" w:after="0"/>
              <w:jc w:val="start"/>
              <w:rPr/>
            </w:pPr>
            <w:r>
              <w:rPr>
                <w:rFonts w:eastAsia="Times New Roman" w:cs="Times New Roman"/>
                <w:b/>
                <w:bCs/>
                <w:sz w:val="20"/>
                <w:szCs w:val="20"/>
              </w:rPr>
              <w:t>Limit-set modes</w:t>
            </w:r>
          </w:p>
        </w:tc>
        <w:tc>
          <w:tcPr>
            <w:tcW w:w="7239" w:type="dxa"/>
            <w:tcBorders/>
          </w:tcPr>
          <w:p>
            <w:pPr>
              <w:pStyle w:val="Normal"/>
              <w:spacing w:lineRule="auto" w:line="240" w:before="0" w:after="0"/>
              <w:jc w:val="start"/>
              <w:rPr/>
            </w:pPr>
            <w:r>
              <w:rPr>
                <w:rFonts w:eastAsia="Times New Roman" w:cs="Times New Roman"/>
                <w:sz w:val="20"/>
                <w:szCs w:val="20"/>
              </w:rPr>
              <w:t>UK uses 10 distinct modes; NL uses 3.</w:t>
            </w:r>
          </w:p>
        </w:tc>
      </w:tr>
      <w:tr>
        <w:trPr/>
        <w:tc>
          <w:tcPr>
            <w:tcW w:w="2399"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Risk tier granularity</w:t>
            </w:r>
          </w:p>
        </w:tc>
        <w:tc>
          <w:tcPr>
            <w:tcW w:w="7239" w:type="dxa"/>
            <w:tcBorders>
              <w:bottom w:val="single" w:sz="8" w:space="0" w:color="000000"/>
            </w:tcBorders>
          </w:tcPr>
          <w:p>
            <w:pPr>
              <w:pStyle w:val="Normal"/>
              <w:spacing w:lineRule="auto" w:line="240" w:before="0" w:after="0"/>
              <w:jc w:val="start"/>
              <w:rPr/>
            </w:pPr>
            <w:r>
              <w:rPr>
                <w:rFonts w:eastAsia="Times New Roman" w:cs="Times New Roman"/>
                <w:sz w:val="20"/>
                <w:szCs w:val="20"/>
              </w:rPr>
              <w:t>UK uses 6 distinct tier values (low, medium, high, YA, YA_18, YA_21); NL uses 4 (low, medium, high, YA).</w:t>
            </w:r>
          </w:p>
        </w:tc>
      </w:tr>
    </w:tbl>
    <w:p>
      <w:pPr>
        <w:pStyle w:val="Normal"/>
        <w:spacing w:lineRule="auto" w:line="240" w:before="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right"/>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Times New Roman" w:cs="Times New Roman" w:eastAsia="Times New Roman" w:hAnsi="Times New Roman"/>
        <w:i/>
        <w:iCs/>
        <w:sz w:val="20"/>
        <w:szCs w:val="20"/>
      </w:rPr>
      <w:t xml:space="preserve">Translating Evidence into Design: A Safe Bet</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15.0000</AppVersion>
  <Pages>2</Pages>
  <Words>645</Words>
  <Characters>4452</Characters>
  <CharactersWithSpaces>5014</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2026-05-06T08:41:18Z</dcterms:created>
  <dc:creator>Harriet Galvin</dc:creator>
  <dc:description/>
  <dc:language>en-US</dc:language>
  <cp:lastModifiedBy>Harriet Galvin</cp:lastModifiedBy>
  <dcterms:modified xsi:type="dcterms:W3CDTF">2026-09-28T09:18:18Z</dcterms:modified>
  <cp:revision>2</cp:revision>
  <dc:subject/>
  <dc:title/>
</cp:coreProperties>
</file>