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center"/>
        <w:rPr/>
      </w:pPr>
      <w:r>
        <w:rPr>
          <w:rFonts w:eastAsia="Times New Roman" w:cs="Times New Roman"/>
          <w:b/>
          <w:bCs/>
          <w:sz w:val="28"/>
          <w:szCs w:val="28"/>
        </w:rPr>
        <w:t>02.2 Extraction Codebook</w:t>
      </w:r>
    </w:p>
    <w:p>
      <w:pPr>
        <w:pStyle w:val="Normal"/>
        <w:spacing w:lineRule="auto" w:line="240" w:before="0" w:after="240"/>
        <w:jc w:val="center"/>
        <w:rPr/>
      </w:pPr>
      <w:r>
        <w:rPr>
          <w:rFonts w:eastAsia="Times New Roman" w:cs="Times New Roman"/>
          <w:i/>
          <w:iCs/>
          <w:sz w:val="24"/>
          <w:szCs w:val="24"/>
        </w:rPr>
        <w:t>Data Extraction Protocol</w:t>
      </w:r>
    </w:p>
    <w:p>
      <w:pPr>
        <w:pStyle w:val="Normal"/>
        <w:spacing w:lineRule="auto" w:line="240" w:before="240" w:after="120"/>
        <w:jc w:val="start"/>
        <w:rPr/>
      </w:pPr>
      <w:r>
        <w:rPr>
          <w:rFonts w:eastAsia="Times New Roman" w:cs="Times New Roman"/>
          <w:b/>
          <w:bCs/>
          <w:sz w:val="24"/>
          <w:szCs w:val="24"/>
        </w:rPr>
        <w:t>1. Overview</w:t>
      </w:r>
    </w:p>
    <w:p>
      <w:pPr>
        <w:pStyle w:val="Normal"/>
        <w:spacing w:lineRule="auto" w:line="240" w:before="0" w:after="120"/>
        <w:jc w:val="both"/>
        <w:rPr/>
      </w:pPr>
      <w:r>
        <w:rPr>
          <w:rFonts w:eastAsia="Times New Roman" w:cs="Times New Roman"/>
          <w:sz w:val="24"/>
          <w:szCs w:val="24"/>
        </w:rPr>
        <w:t>The extraction framework comprises 45 fields organised into 10 conceptual blocks. Data were extracted at the tool level: studies evaluating multiple distinct responsible gambling (RG) tools yielded multiple extraction records. The framework captured evidence across experimental, observational, qualitative, and policy-level designs while preserving the distinctions in what each could evidence.</w:t>
      </w:r>
    </w:p>
    <w:p>
      <w:pPr>
        <w:pStyle w:val="Normal"/>
        <w:spacing w:lineRule="auto" w:line="240" w:before="240" w:after="120"/>
        <w:jc w:val="start"/>
        <w:rPr/>
      </w:pPr>
      <w:r>
        <w:rPr>
          <w:rFonts w:eastAsia="Times New Roman" w:cs="Times New Roman"/>
          <w:b/>
          <w:bCs/>
          <w:sz w:val="24"/>
          <w:szCs w:val="24"/>
        </w:rPr>
        <w:t>2. Extraction Framework</w:t>
      </w:r>
    </w:p>
    <w:p>
      <w:pPr>
        <w:pStyle w:val="Normal"/>
        <w:spacing w:lineRule="auto" w:line="240" w:before="0" w:after="120"/>
        <w:jc w:val="both"/>
        <w:rPr/>
      </w:pPr>
      <w:r>
        <w:rPr>
          <w:rFonts w:eastAsia="Times New Roman" w:cs="Times New Roman"/>
          <w:sz w:val="24"/>
          <w:szCs w:val="24"/>
        </w:rPr>
        <w:t>Table 02.2.1 lists the 45 formal fields; a sortable version is in 02.1 Field Inventory. In the deposited dataset, some fields were stored as compound columns (sub-components delimited within a single cell) and Study_Sample was split across three columns. Several sub-fields used controlled vocabularies (introduced from v8), with codes in the Controlled_Vocabularies sheet of [OSF: 03_1_Taxonomy_Dataset.xlsx]. Storage conventions are in Section 5.8 and do not alter the field count.</w:t>
      </w:r>
    </w:p>
    <w:p>
      <w:pPr>
        <w:pStyle w:val="Normal"/>
        <w:spacing w:lineRule="auto" w:line="240" w:before="180" w:after="0"/>
        <w:jc w:val="start"/>
        <w:rPr/>
      </w:pPr>
      <w:r>
        <w:rPr>
          <w:rFonts w:eastAsia="Times New Roman" w:cs="Times New Roman"/>
          <w:b/>
          <w:bCs/>
          <w:sz w:val="24"/>
          <w:szCs w:val="24"/>
        </w:rPr>
        <w:t>Table 02.2.1</w:t>
      </w:r>
    </w:p>
    <w:p>
      <w:pPr>
        <w:pStyle w:val="Normal"/>
        <w:spacing w:lineRule="auto" w:line="240" w:before="0" w:after="120"/>
        <w:jc w:val="start"/>
        <w:rPr/>
      </w:pPr>
      <w:r>
        <w:rPr>
          <w:rFonts w:eastAsia="Times New Roman" w:cs="Times New Roman"/>
          <w:i/>
          <w:iCs/>
          <w:sz w:val="24"/>
          <w:szCs w:val="24"/>
        </w:rPr>
        <w:t>Data Extraction Fields by Conceptual Block</w:t>
      </w:r>
    </w:p>
    <w:tbl>
      <w:tblPr>
        <w:tblW w:w="9638" w:type="dxa"/>
        <w:jc w:val="start"/>
        <w:tblInd w:w="0" w:type="dxa"/>
        <w:tblLayout w:type="fixed"/>
        <w:tblCellMar>
          <w:top w:w="80" w:type="dxa"/>
          <w:start w:w="100" w:type="dxa"/>
          <w:bottom w:w="80" w:type="dxa"/>
          <w:end w:w="100" w:type="dxa"/>
        </w:tblCellMar>
      </w:tblPr>
      <w:tblGrid>
        <w:gridCol w:w="1899"/>
        <w:gridCol w:w="1901"/>
        <w:gridCol w:w="2999"/>
        <w:gridCol w:w="2839"/>
      </w:tblGrid>
      <w:tr>
        <w:trPr>
          <w:tblHeader w:val="true"/>
        </w:trPr>
        <w:tc>
          <w:tcPr>
            <w:tcW w:w="189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Field</w:t>
            </w:r>
          </w:p>
        </w:tc>
        <w:tc>
          <w:tcPr>
            <w:tcW w:w="1901"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Stored in column</w:t>
            </w:r>
          </w:p>
        </w:tc>
        <w:tc>
          <w:tcPr>
            <w:tcW w:w="299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Definition</w:t>
            </w:r>
          </w:p>
        </w:tc>
        <w:tc>
          <w:tcPr>
            <w:tcW w:w="283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Values / format</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1: Identification</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Paper_ID</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Paper_ID</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Unique paper identifier. One per source paper; shared across all extractions from the same paper.</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Format: [Year]_[FirstAuthor]_[KeyTopic]</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Study_Category</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Study_Category</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Classification of the study’s design and evidence contribution. Governs the language mode used in results reporting.</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EXP [EFFECTIVENESS] / OBS [QUANTITATIVE – REACH] / QUAL [REACH – IMPLEMENTATION] / POL [POLICY – IMPLEMENTATION]</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Study_ID</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Study_ID</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Unique extraction identifier. One per extracted tool record; a paper evaluating multiple tools yields multiple Study_IDs.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Format: [Category]_[Year]_[Author]_[ToolCode]</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2: Bibliographic</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Authors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Authors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All authors of the source paper, in citation order.</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Last, Initials (comma-separated; &amp; before final author)</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Year</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Year</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Publication year of the source paper.</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YYYY</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Title</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Title</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Full article title.</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Sentence case</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Journal</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Journal</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Publication venue: full journal name, not abbreviation.</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Include subtitle where one exists</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DOI</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DOI</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Digital object identifier linking to the source paper.</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https://doi.org/...</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3: Study Design</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Study_Design</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Study_Design</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Research design with key features. Stored as controlled-vocabulary code (from v8) followed by free-text bracketed specifications.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Code: RCT / LAB-EXP / QUASI-EXP / OBSERVATIONAL / CROSS-SECTIONAL / QUALITATIVE / MIXED-METHODS / AUDIT / SINGLE-ARM / DELPHI / OTHER. Format: CODE │ (free text: arm counts, assignment, timepoints, setting). Single code only.</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Data_Source</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Data_Source</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Type of data used and how it was collected. Stored as controlled-vocabulary code(s) followed by free-text descriptors.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Codes: SELF-REPORT / BEHAVIOURAL-LAB / OPERATOR-LOGS / QUAL-INTERVIEW / OBSERVATIONAL-AUDIT / SECONDARY-SURVEY / SECONDARY-ADMIN / OTHER. Combinable with +. Format: CODE [+ CODE] │ (free text).</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Study_Sample</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Sample_N + Sample_Description + Sample_Severity</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Description of the study’s sample (who was studied). Distinct from Tool_Target_Tier (who the tool is designed for). Captured across three columns in the deposited dataset; counts as one formal field (see Section 5.8).</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Begin with risk level in caps; include N, demographics, recruitment, screening</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4: Setting</w:t>
            </w:r>
          </w:p>
        </w:tc>
      </w:tr>
      <w:tr>
        <w:trPr/>
        <w:tc>
          <w:tcPr>
            <w:tcW w:w="1899" w:type="dxa"/>
            <w:tcBorders/>
          </w:tcPr>
          <w:p>
            <w:pPr>
              <w:pStyle w:val="Normal"/>
              <w:spacing w:lineRule="auto" w:line="240" w:before="0" w:after="0"/>
              <w:jc w:val="start"/>
              <w:rPr/>
            </w:pPr>
            <w:r>
              <w:rPr>
                <w:rFonts w:eastAsia="Times New Roman" w:cs="Times New Roman"/>
                <w:sz w:val="20"/>
                <w:szCs w:val="20"/>
              </w:rPr>
              <w:t>Country_Jurisdiction</w:t>
            </w:r>
            <w:r>
              <w:rPr>
                <w:rFonts w:eastAsia="Times New Roman" w:cs="Times New Roman"/>
                <w:i/>
                <w:iCs/>
                <w:sz w:val="18"/>
                <w:szCs w:val="18"/>
              </w:rPr>
              <w:br/>
              <w:t>(Country + Regulatory_Context)</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Country_Jurisdiction</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Geographic and regulatory context. Compound field containing Country and Regulatory_Context.</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Country + region/state where sub-national variation is relevant; licensing authority + key legislation or industry code</w:t>
            </w:r>
          </w:p>
        </w:tc>
      </w:tr>
      <w:tr>
        <w:trPr/>
        <w:tc>
          <w:tcPr>
            <w:tcW w:w="1899" w:type="dxa"/>
            <w:tcBorders/>
          </w:tcPr>
          <w:p>
            <w:pPr>
              <w:pStyle w:val="Normal"/>
              <w:spacing w:lineRule="auto" w:line="240" w:before="0" w:after="0"/>
              <w:jc w:val="start"/>
              <w:rPr/>
            </w:pPr>
            <w:r>
              <w:rPr>
                <w:rFonts w:eastAsia="Times New Roman" w:cs="Times New Roman"/>
                <w:sz w:val="20"/>
                <w:szCs w:val="20"/>
              </w:rPr>
              <w:t>Game_Type</w:t>
            </w:r>
            <w:r>
              <w:rPr>
                <w:rFonts w:eastAsia="Times New Roman" w:cs="Times New Roman"/>
                <w:i/>
                <w:iCs/>
                <w:sz w:val="18"/>
                <w:szCs w:val="18"/>
              </w:rPr>
              <w:br/>
              <w:t>(Platform_Type + Money_Type)</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Game_Type</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Gambling product type and money type. Compound field containing Platform_Type and Money_Type.</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Platform_Type (EGM/Slots/VLT, Sports/Racing, Casino/Table, Poker, Lottery/Bingo, General online, Mixed); Money_Type (real-money / simulated)</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Platform_Setting</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Platform_Setting</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Platform environment where gambling takes place.</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Online (operator named where relevant) / Land-based / Laboratory / Mixed / Non-specific</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5: Tool Identity</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Tool_Code</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Tool_Code</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Standardised tool code capturing mechanism of action. Combined codes permitted for integrated multi-component tools (e.g., FEED-PERSONAL + MSG-POP).</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See 02.3 Tool Codes and Domains for full code definitions and bundling rules</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Tool_Name</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Tool_Name</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Descriptive name of the tool as deployed or evaluated.</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Use dashes, not colons</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Tool_Description</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Tool_Description</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What the tool IS and DOES: core function and mechanism of action.</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Prose, 2–4 sentences; omit study methodology and delivery parameters</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Tool_Content</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Tool_Content</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Verbatim content or components of the tool where available (e.g., exact message wording, interface elements, intervention script).</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Verbatim in quotes; [bracketed paraphrase] where exact wording unavailable</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Tool_Target_Tier</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Tool_Target_Tier</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Risk tier the tool is designed for. Captures targeting logic at tool level. Distinct from Study_Sample (who was actually studied). N/A where the record has no human participant sample (policy audits, document analyses, simulation-only studies).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ALL / HIGH / MOD / LOW / N/A</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6: Delivery</w:t>
            </w:r>
          </w:p>
        </w:tc>
      </w:tr>
      <w:tr>
        <w:trPr/>
        <w:tc>
          <w:tcPr>
            <w:tcW w:w="1899" w:type="dxa"/>
            <w:tcBorders/>
          </w:tcPr>
          <w:p>
            <w:pPr>
              <w:pStyle w:val="Normal"/>
              <w:spacing w:lineRule="auto" w:line="240" w:before="0" w:after="0"/>
              <w:jc w:val="start"/>
              <w:rPr/>
            </w:pPr>
            <w:r>
              <w:rPr>
                <w:rFonts w:eastAsia="Times New Roman" w:cs="Times New Roman"/>
                <w:sz w:val="20"/>
                <w:szCs w:val="20"/>
              </w:rPr>
              <w:t>Delivery_Mechanism</w:t>
            </w:r>
            <w:r>
              <w:rPr>
                <w:rFonts w:eastAsia="Times New Roman" w:cs="Times New Roman"/>
                <w:i/>
                <w:iCs/>
                <w:sz w:val="18"/>
                <w:szCs w:val="18"/>
              </w:rPr>
              <w:br/>
              <w:t>(Modality + Timing + Trigger + Frequency + Duration)</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Delivery_Mechanism</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How, when, and how often the tool is delivered. Compound field containing Modality, Timing, Trigger, Frequency, and Duration. Each sub-field uses controlled vocabulary codes (from v8) followed by free-text descriptors.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Modality (PLATFORM-INTEGRATED / POP-UP / ONLINE-MODULE / VIDEO / STATIC-DISPLAY / SIGNAGE / SMS / EMAIL / LETTER / TELEPHONE / FACE-TO-FACE / WORKBOOK / OPERATOR-BACKEND / OTHER; combinable with +); Timing (PRE-SESSION / DURING-PLAY / POST-SESSION / BETWEEN-SESSIONS / ON-DEMAND / SCHEDULED / CONTINUOUS / N/A; combinable with +); Trigger (AUTOMATIC / USER-INITIATED / OPERATOR-INITIATED / TIME-BASED / SPEND-THRESHOLD / BEHAVIOUR-THRESHOLD / EVENT-TRIGGERED / N/A; combinable with +); Frequency (ONE-TIME / REPEATED / PERIODIC / CONTINUOUS / ON-DEMAND / N/A; single code only); Duration (free text)</w:t>
            </w:r>
          </w:p>
        </w:tc>
      </w:tr>
      <w:tr>
        <w:trPr/>
        <w:tc>
          <w:tcPr>
            <w:tcW w:w="1899" w:type="dxa"/>
            <w:tcBorders/>
          </w:tcPr>
          <w:p>
            <w:pPr>
              <w:pStyle w:val="Normal"/>
              <w:spacing w:lineRule="auto" w:line="240" w:before="0" w:after="0"/>
              <w:jc w:val="start"/>
              <w:rPr/>
            </w:pPr>
            <w:r>
              <w:rPr>
                <w:rFonts w:eastAsia="Times New Roman" w:cs="Times New Roman"/>
                <w:sz w:val="20"/>
                <w:szCs w:val="20"/>
              </w:rPr>
              <w:t>User_Interaction</w:t>
            </w:r>
            <w:r>
              <w:rPr>
                <w:rFonts w:eastAsia="Times New Roman" w:cs="Times New Roman"/>
                <w:i/>
                <w:iCs/>
                <w:sz w:val="18"/>
                <w:szCs w:val="18"/>
              </w:rPr>
              <w:br/>
              <w:t>(Control + Engagement + Personalisation)</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User_Interaction</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User engagement requirements. Compound field containing Control, Engagement, and Personalisation. Each sub-field uses controlled vocabulary codes (from v8) followed by free-text descriptors.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Control (MANDATORY / VOLUNTARY / MANDATORY+VOLUNTARY / N/A; PASSIVE is not a Control value); Engagement (PASSIVE / ACKNOWLEDGE / VIEW-REQUIRED / INPUT-REQUIRED / INTERACTIVE / N/A; two compound combinations permitted: PASSIVE+INPUT, VIEW+INPUT); Personalisation (NONE / USER-SET / BEHAVIOURAL / INDIVIDUALISED / N/A; one compound combination permitted: USER-SET+BEHAVIOURAL)</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7: Measurement</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Primary_Outcomes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Primary_Outcomes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Main dependent variables. Outcome types span behavioural, psychosocial, engagement, and acceptability.</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Outcome construct + measurement; one per line where multiple</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Secondary_Outcomes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Secondary_Outcomes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Additional measures including covariates, moderators, and secondary dependent variables.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Covariates and moderators; semicolon-separated</w:t>
            </w:r>
          </w:p>
        </w:tc>
      </w:tr>
      <w:tr>
        <w:trPr/>
        <w:tc>
          <w:tcPr>
            <w:tcW w:w="1899" w:type="dxa"/>
            <w:tcBorders/>
          </w:tcPr>
          <w:p>
            <w:pPr>
              <w:pStyle w:val="Normal"/>
              <w:spacing w:lineRule="auto" w:line="240" w:before="0" w:after="0"/>
              <w:jc w:val="start"/>
              <w:rPr/>
            </w:pPr>
            <w:r>
              <w:rPr>
                <w:rFonts w:eastAsia="Times New Roman" w:cs="Times New Roman"/>
                <w:sz w:val="20"/>
                <w:szCs w:val="20"/>
              </w:rPr>
              <w:t>Measurement_Method</w:t>
            </w:r>
            <w:r>
              <w:rPr>
                <w:rFonts w:eastAsia="Times New Roman" w:cs="Times New Roman"/>
                <w:i/>
                <w:iCs/>
                <w:sz w:val="18"/>
                <w:szCs w:val="18"/>
              </w:rPr>
              <w:br/>
              <w:t>(Instruments + Timepoints + Procedure)</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Measurement_Method</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Assessment procedures. Compound field containing Instruments, Timepoints, and Procedure.</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Instruments (validated instruments named, e.g., PGSI, DASS-21); Timepoints (baseline + follow-up intervals); Procedure (administration mode + setting)</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Analysis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Analysis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Statistical or analytical methods used.</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Statistical methods only; exclude substantive interpretation</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8: Results</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Main_Findings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Main_Findings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Key results with statistics. Language mode must match Study_Category (causal for EXP; associational for OBS; interpretive for QUAL; descriptive for POL).</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Quantitative results first; language mode per Study_Category</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Subgroup_Effects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Subgroup_Effects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Differential outcomes by risk level, demographics, gambling format, or other reported moderators.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By moderator: effect. ‘Not reported’ where absent</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Effect_Sizes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Effect_Sizes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Magnitude of effects. Required for EXP records; N/A for OBS, QUAL, and POL.</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EXP: d, η², OR, RR with CIs where available. OBS/QUAL/POL: N/A</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Acceptability</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Acceptability</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User engagement and satisfaction data.</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Uptake rate + satisfaction + qualitative feedback where available</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9: Implementation</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Implementation_Readiness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Implementation_Readiness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Tool readiness level based on evidence context. Describes the tool’s readiness, not the study’s contribution. Parenthetical qualifier specifies context (e.g., ‘Deployed (multi-operator, policy audit)’).</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Deployed / Validated / Tested / Conceptual</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Implementation_Notes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Implementation_Notes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Requirements, design levers, and structural barriers for deploying the tool in digital gambling environments. Required for every record regardless of original study context (see Section 5.7).</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Online translation requirements; structural barriers; design levers</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Evidence_Quality</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Evidence_Quality</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Five-level quality rating with direction indicator and interpretive statement.</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[RATING] (direction). [Interpretive statement]. Strengths: [...]. Limitations: [...]. Ratings: HIGH / MODERATE-HIGH / MODERATE / LOW-MODERATE / LOW. Directions: positive / negative / mixed / null</w:t>
            </w:r>
          </w:p>
        </w:tc>
      </w:tr>
      <w:tr>
        <w:trPr/>
        <w:tc>
          <w:tcPr>
            <w:tcW w:w="9638" w:type="dxa"/>
            <w:gridSpan w:val="4"/>
            <w:tcBorders/>
          </w:tcPr>
          <w:p>
            <w:pPr>
              <w:pStyle w:val="Normal"/>
              <w:spacing w:lineRule="auto" w:line="240" w:before="60" w:after="0"/>
              <w:jc w:val="start"/>
              <w:rPr/>
            </w:pPr>
            <w:r>
              <w:rPr>
                <w:rFonts w:eastAsia="Times New Roman" w:cs="Times New Roman"/>
                <w:b/>
                <w:bCs/>
                <w:i/>
                <w:iCs/>
                <w:sz w:val="20"/>
                <w:szCs w:val="20"/>
              </w:rPr>
              <w:t>Block 10: Context</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Behavioural_Psychological_Social</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Behavioural_Psychological_Social</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Mechanisms and psychological principles underpinning the tool. Content varies by Study_Category (see Table 02.2.3 for study-type-specific interpretations).</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Content varies by Study_Category</w:t>
            </w:r>
          </w:p>
        </w:tc>
      </w:tr>
      <w:tr>
        <w:trPr/>
        <w:tc>
          <w:tcPr>
            <w:tcW w:w="1899" w:type="dxa"/>
            <w:tcBorders/>
          </w:tcPr>
          <w:p>
            <w:pPr>
              <w:pStyle w:val="Normal"/>
              <w:spacing w:lineRule="auto" w:line="240" w:before="0" w:after="0"/>
              <w:jc w:val="start"/>
              <w:rPr/>
            </w:pPr>
            <w:r>
              <w:rPr>
                <w:rFonts w:eastAsia="Times New Roman" w:cs="Times New Roman"/>
                <w:b w:val="false"/>
                <w:bCs w:val="false"/>
                <w:i w:val="false"/>
                <w:iCs w:val="false"/>
                <w:sz w:val="20"/>
                <w:szCs w:val="20"/>
              </w:rPr>
              <w:t>Risk_Factors_Indicators</w:t>
            </w:r>
          </w:p>
        </w:tc>
        <w:tc>
          <w:tcPr>
            <w:tcW w:w="1901" w:type="dxa"/>
            <w:tcBorders/>
          </w:tcPr>
          <w:p>
            <w:pPr>
              <w:pStyle w:val="Normal"/>
              <w:spacing w:lineRule="auto" w:line="240" w:before="0" w:after="0"/>
              <w:jc w:val="start"/>
              <w:rPr/>
            </w:pPr>
            <w:r>
              <w:rPr>
                <w:rFonts w:eastAsia="Times New Roman" w:cs="Times New Roman"/>
                <w:b w:val="false"/>
                <w:bCs w:val="false"/>
                <w:i w:val="false"/>
                <w:iCs w:val="false"/>
                <w:sz w:val="20"/>
                <w:szCs w:val="20"/>
              </w:rPr>
              <w:t>Risk_Factors_Indicators</w:t>
            </w:r>
          </w:p>
        </w:tc>
        <w:tc>
          <w:tcPr>
            <w:tcW w:w="2999" w:type="dxa"/>
            <w:tcBorders/>
          </w:tcPr>
          <w:p>
            <w:pPr>
              <w:pStyle w:val="Normal"/>
              <w:spacing w:lineRule="auto" w:line="240" w:before="0" w:after="0"/>
              <w:jc w:val="start"/>
              <w:rPr/>
            </w:pPr>
            <w:r>
              <w:rPr>
                <w:rFonts w:eastAsia="Times New Roman" w:cs="Times New Roman"/>
                <w:b w:val="false"/>
                <w:bCs w:val="false"/>
                <w:i w:val="false"/>
                <w:iCs w:val="false"/>
                <w:sz w:val="20"/>
                <w:szCs w:val="20"/>
              </w:rPr>
              <w:t>Behavioural markers relevant to tool deployment or targeting. Content varies by Study_Category (see Table 02.2.3).</w:t>
            </w:r>
          </w:p>
        </w:tc>
        <w:tc>
          <w:tcPr>
            <w:tcW w:w="2839" w:type="dxa"/>
            <w:tcBorders/>
          </w:tcPr>
          <w:p>
            <w:pPr>
              <w:pStyle w:val="Normal"/>
              <w:spacing w:lineRule="auto" w:line="240" w:before="0" w:after="0"/>
              <w:jc w:val="start"/>
              <w:rPr/>
            </w:pPr>
            <w:r>
              <w:rPr>
                <w:rFonts w:eastAsia="Times New Roman" w:cs="Times New Roman"/>
                <w:b w:val="false"/>
                <w:bCs w:val="false"/>
                <w:i w:val="false"/>
                <w:iCs w:val="false"/>
                <w:sz w:val="20"/>
                <w:szCs w:val="20"/>
              </w:rPr>
              <w:t>Content varies by Study_Category</w:t>
            </w:r>
          </w:p>
        </w:tc>
      </w:tr>
      <w:tr>
        <w:trPr/>
        <w:tc>
          <w:tcPr>
            <w:tcW w:w="1899"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Economic_Behavioural_Economics</w:t>
            </w:r>
          </w:p>
        </w:tc>
        <w:tc>
          <w:tcPr>
            <w:tcW w:w="1901"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Economic_Behavioural_Economics</w:t>
            </w:r>
          </w:p>
        </w:tc>
        <w:tc>
          <w:tcPr>
            <w:tcW w:w="2999"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Financial and behavioural-economic factors. Content varies by Study_Category (see Table 02.2.3).</w:t>
            </w:r>
          </w:p>
        </w:tc>
        <w:tc>
          <w:tcPr>
            <w:tcW w:w="2839"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Content varies by Study_Category</w:t>
            </w:r>
          </w:p>
        </w:tc>
      </w:tr>
    </w:tbl>
    <w:p>
      <w:pPr>
        <w:pStyle w:val="Normal"/>
        <w:spacing w:lineRule="auto" w:line="240" w:before="120" w:after="120"/>
        <w:jc w:val="both"/>
        <w:rPr/>
      </w:pPr>
      <w:r>
        <w:rPr>
          <w:rFonts w:eastAsia="Times New Roman" w:cs="Times New Roman"/>
          <w:sz w:val="24"/>
          <w:szCs w:val="24"/>
        </w:rPr>
        <w:t>The 45 fields comprise 30 standalone fields and 15 sub-fields nested within five compound fields (Country_Jurisdiction, Game_Type, Delivery_Mechanism, User_Interaction, Measurement_Method); they are stored in 37 columns (35 single-cell or compound columns, with Study_Sample split across three).</w:t>
      </w:r>
    </w:p>
    <w:p>
      <w:pPr>
        <w:pStyle w:val="Normal"/>
        <w:spacing w:lineRule="auto" w:line="240" w:before="60" w:after="240"/>
        <w:jc w:val="start"/>
        <w:rPr/>
      </w:pPr>
      <w:r>
        <w:rPr>
          <w:rFonts w:eastAsia="Times New Roman" w:cs="Times New Roman"/>
          <w:i/>
          <w:iCs/>
          <w:sz w:val="20"/>
          <w:szCs w:val="20"/>
        </w:rPr>
        <w:t xml:space="preserve">Note. </w:t>
      </w:r>
      <w:r>
        <w:rPr>
          <w:rFonts w:eastAsia="Times New Roman" w:cs="Times New Roman"/>
          <w:sz w:val="20"/>
          <w:szCs w:val="20"/>
        </w:rPr>
        <w:t>RG = responsible gambling. Compound field = single column with delimiter-separated sub-components. The SELF-REPORT code in the Data_Source vocabulary is namespace-distinct from the SELF-REG tool code in 02.3 Tool Codes and Domains. SELF-REPORT identifies how data were collected; SELF-REG identifies a category of self-regulation tools.</w:t>
      </w:r>
    </w:p>
    <w:p>
      <w:pPr>
        <w:pStyle w:val="Normal"/>
        <w:spacing w:lineRule="auto" w:line="240" w:before="240" w:after="120"/>
        <w:jc w:val="start"/>
        <w:rPr/>
      </w:pPr>
      <w:r>
        <w:rPr>
          <w:rFonts w:eastAsia="Times New Roman" w:cs="Times New Roman"/>
          <w:b/>
          <w:bCs/>
          <w:sz w:val="24"/>
          <w:szCs w:val="24"/>
        </w:rPr>
        <w:t>3. Study Category Classification</w:t>
      </w:r>
    </w:p>
    <w:p>
      <w:pPr>
        <w:pStyle w:val="Normal"/>
        <w:spacing w:lineRule="auto" w:line="240" w:before="0" w:after="120"/>
        <w:jc w:val="both"/>
        <w:rPr/>
      </w:pPr>
      <w:r>
        <w:rPr>
          <w:rFonts w:eastAsia="Times New Roman" w:cs="Times New Roman"/>
          <w:sz w:val="24"/>
          <w:szCs w:val="24"/>
        </w:rPr>
        <w:t>Studies were classified into four categories by one question: did the researchers deliberately manipulate or deliver the RG tool with a comparison condition? Classification governed language mode in results reporting (Section 5.4) and interpretation of the Block 10 context fields (Section 4).</w:t>
      </w:r>
    </w:p>
    <w:p>
      <w:pPr>
        <w:pStyle w:val="Normal"/>
        <w:spacing w:lineRule="auto" w:line="240" w:before="180" w:after="0"/>
        <w:jc w:val="start"/>
        <w:rPr/>
      </w:pPr>
      <w:r>
        <w:rPr>
          <w:rFonts w:eastAsia="Times New Roman" w:cs="Times New Roman"/>
          <w:b/>
          <w:bCs/>
          <w:sz w:val="24"/>
          <w:szCs w:val="24"/>
        </w:rPr>
        <w:t>Table 02.2.2</w:t>
      </w:r>
    </w:p>
    <w:p>
      <w:pPr>
        <w:pStyle w:val="Normal"/>
        <w:spacing w:lineRule="auto" w:line="240" w:before="0" w:after="120"/>
        <w:jc w:val="start"/>
        <w:rPr/>
      </w:pPr>
      <w:r>
        <w:rPr>
          <w:rFonts w:eastAsia="Times New Roman" w:cs="Times New Roman"/>
          <w:i/>
          <w:iCs/>
          <w:sz w:val="24"/>
          <w:szCs w:val="24"/>
        </w:rPr>
        <w:t>Study Category Definitions and Language Modes</w:t>
      </w:r>
    </w:p>
    <w:tbl>
      <w:tblPr>
        <w:tblW w:w="9638" w:type="dxa"/>
        <w:jc w:val="start"/>
        <w:tblInd w:w="0" w:type="dxa"/>
        <w:tblLayout w:type="fixed"/>
        <w:tblCellMar>
          <w:top w:w="80" w:type="dxa"/>
          <w:start w:w="100" w:type="dxa"/>
          <w:bottom w:w="80" w:type="dxa"/>
          <w:end w:w="100" w:type="dxa"/>
        </w:tblCellMar>
      </w:tblPr>
      <w:tblGrid>
        <w:gridCol w:w="1400"/>
        <w:gridCol w:w="3300"/>
        <w:gridCol w:w="2899"/>
        <w:gridCol w:w="2039"/>
      </w:tblGrid>
      <w:tr>
        <w:trPr>
          <w:tblHeader w:val="true"/>
        </w:trPr>
        <w:tc>
          <w:tcPr>
            <w:tcW w:w="1400"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Category</w:t>
            </w:r>
          </w:p>
        </w:tc>
        <w:tc>
          <w:tcPr>
            <w:tcW w:w="3300"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Definition</w:t>
            </w:r>
          </w:p>
        </w:tc>
        <w:tc>
          <w:tcPr>
            <w:tcW w:w="289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Language mode</w:t>
            </w:r>
          </w:p>
        </w:tc>
        <w:tc>
          <w:tcPr>
            <w:tcW w:w="203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Effect sizes</w:t>
            </w:r>
          </w:p>
        </w:tc>
      </w:tr>
      <w:tr>
        <w:trPr/>
        <w:tc>
          <w:tcPr>
            <w:tcW w:w="1400" w:type="dxa"/>
            <w:tcBorders/>
          </w:tcPr>
          <w:p>
            <w:pPr>
              <w:pStyle w:val="Normal"/>
              <w:spacing w:lineRule="auto" w:line="240" w:before="0" w:after="0"/>
              <w:jc w:val="start"/>
              <w:rPr/>
            </w:pPr>
            <w:r>
              <w:rPr>
                <w:rFonts w:eastAsia="Times New Roman" w:cs="Times New Roman"/>
                <w:b/>
                <w:bCs/>
                <w:sz w:val="20"/>
                <w:szCs w:val="20"/>
              </w:rPr>
              <w:t>EXP</w:t>
            </w:r>
          </w:p>
        </w:tc>
        <w:tc>
          <w:tcPr>
            <w:tcW w:w="3300" w:type="dxa"/>
            <w:tcBorders/>
          </w:tcPr>
          <w:p>
            <w:pPr>
              <w:pStyle w:val="Normal"/>
              <w:spacing w:lineRule="auto" w:line="240" w:before="0" w:after="0"/>
              <w:jc w:val="start"/>
              <w:rPr/>
            </w:pPr>
            <w:r>
              <w:rPr>
                <w:rFonts w:eastAsia="Times New Roman" w:cs="Times New Roman"/>
                <w:b w:val="false"/>
                <w:bCs w:val="false"/>
                <w:i w:val="false"/>
                <w:iCs w:val="false"/>
                <w:sz w:val="20"/>
                <w:szCs w:val="20"/>
              </w:rPr>
              <w:t>Experimental studies with manipulation and comparison condition</w:t>
            </w:r>
          </w:p>
        </w:tc>
        <w:tc>
          <w:tcPr>
            <w:tcW w:w="2899" w:type="dxa"/>
            <w:tcBorders/>
          </w:tcPr>
          <w:p>
            <w:pPr>
              <w:pStyle w:val="Normal"/>
              <w:spacing w:lineRule="auto" w:line="240" w:before="0" w:after="0"/>
              <w:jc w:val="start"/>
              <w:rPr/>
            </w:pPr>
            <w:r>
              <w:rPr>
                <w:rFonts w:eastAsia="Times New Roman" w:cs="Times New Roman"/>
                <w:b w:val="false"/>
                <w:bCs w:val="false"/>
                <w:i w:val="false"/>
                <w:iCs w:val="false"/>
                <w:sz w:val="20"/>
                <w:szCs w:val="20"/>
              </w:rPr>
              <w:t>Causal: “reduced,” “caused,” “led to”</w:t>
            </w:r>
          </w:p>
        </w:tc>
        <w:tc>
          <w:tcPr>
            <w:tcW w:w="2039" w:type="dxa"/>
            <w:tcBorders/>
          </w:tcPr>
          <w:p>
            <w:pPr>
              <w:pStyle w:val="Normal"/>
              <w:spacing w:lineRule="auto" w:line="240" w:before="0" w:after="0"/>
              <w:jc w:val="start"/>
              <w:rPr/>
            </w:pPr>
            <w:r>
              <w:rPr>
                <w:rFonts w:eastAsia="Times New Roman" w:cs="Times New Roman"/>
                <w:b w:val="false"/>
                <w:bCs w:val="false"/>
                <w:i w:val="false"/>
                <w:iCs w:val="false"/>
                <w:sz w:val="20"/>
                <w:szCs w:val="20"/>
              </w:rPr>
              <w:t>Required (d, η², OR, RR)</w:t>
            </w:r>
          </w:p>
        </w:tc>
      </w:tr>
      <w:tr>
        <w:trPr/>
        <w:tc>
          <w:tcPr>
            <w:tcW w:w="1400" w:type="dxa"/>
            <w:tcBorders/>
          </w:tcPr>
          <w:p>
            <w:pPr>
              <w:pStyle w:val="Normal"/>
              <w:spacing w:lineRule="auto" w:line="240" w:before="0" w:after="0"/>
              <w:jc w:val="start"/>
              <w:rPr/>
            </w:pPr>
            <w:r>
              <w:rPr>
                <w:rFonts w:eastAsia="Times New Roman" w:cs="Times New Roman"/>
                <w:b/>
                <w:bCs/>
                <w:sz w:val="20"/>
                <w:szCs w:val="20"/>
              </w:rPr>
              <w:t>OBS</w:t>
            </w:r>
          </w:p>
        </w:tc>
        <w:tc>
          <w:tcPr>
            <w:tcW w:w="3300" w:type="dxa"/>
            <w:tcBorders/>
          </w:tcPr>
          <w:p>
            <w:pPr>
              <w:pStyle w:val="Normal"/>
              <w:spacing w:lineRule="auto" w:line="240" w:before="0" w:after="0"/>
              <w:jc w:val="start"/>
              <w:rPr/>
            </w:pPr>
            <w:r>
              <w:rPr>
                <w:rFonts w:eastAsia="Times New Roman" w:cs="Times New Roman"/>
                <w:b w:val="false"/>
                <w:bCs w:val="false"/>
                <w:i w:val="false"/>
                <w:iCs w:val="false"/>
                <w:sz w:val="20"/>
                <w:szCs w:val="20"/>
              </w:rPr>
              <w:t>Quantitative studies of naturally occurring tool use</w:t>
            </w:r>
          </w:p>
        </w:tc>
        <w:tc>
          <w:tcPr>
            <w:tcW w:w="2899" w:type="dxa"/>
            <w:tcBorders/>
          </w:tcPr>
          <w:p>
            <w:pPr>
              <w:pStyle w:val="Normal"/>
              <w:spacing w:lineRule="auto" w:line="240" w:before="0" w:after="0"/>
              <w:jc w:val="start"/>
              <w:rPr/>
            </w:pPr>
            <w:r>
              <w:rPr>
                <w:rFonts w:eastAsia="Times New Roman" w:cs="Times New Roman"/>
                <w:b w:val="false"/>
                <w:bCs w:val="false"/>
                <w:i w:val="false"/>
                <w:iCs w:val="false"/>
                <w:sz w:val="20"/>
                <w:szCs w:val="20"/>
              </w:rPr>
              <w:t>Associational: “showed,” “was associated with”</w:t>
            </w:r>
          </w:p>
        </w:tc>
        <w:tc>
          <w:tcPr>
            <w:tcW w:w="2039" w:type="dxa"/>
            <w:tcBorders/>
          </w:tcPr>
          <w:p>
            <w:pPr>
              <w:pStyle w:val="Normal"/>
              <w:spacing w:lineRule="auto" w:line="240" w:before="0" w:after="0"/>
              <w:jc w:val="start"/>
              <w:rPr/>
            </w:pPr>
            <w:r>
              <w:rPr>
                <w:rFonts w:eastAsia="Times New Roman" w:cs="Times New Roman"/>
                <w:b w:val="false"/>
                <w:bCs w:val="false"/>
                <w:i w:val="false"/>
                <w:iCs w:val="false"/>
                <w:sz w:val="20"/>
                <w:szCs w:val="20"/>
              </w:rPr>
              <w:t>N/A</w:t>
            </w:r>
          </w:p>
        </w:tc>
      </w:tr>
      <w:tr>
        <w:trPr/>
        <w:tc>
          <w:tcPr>
            <w:tcW w:w="1400" w:type="dxa"/>
            <w:tcBorders/>
          </w:tcPr>
          <w:p>
            <w:pPr>
              <w:pStyle w:val="Normal"/>
              <w:spacing w:lineRule="auto" w:line="240" w:before="0" w:after="0"/>
              <w:jc w:val="start"/>
              <w:rPr/>
            </w:pPr>
            <w:r>
              <w:rPr>
                <w:rFonts w:eastAsia="Times New Roman" w:cs="Times New Roman"/>
                <w:b/>
                <w:bCs/>
                <w:sz w:val="20"/>
                <w:szCs w:val="20"/>
              </w:rPr>
              <w:t>QUAL</w:t>
            </w:r>
          </w:p>
        </w:tc>
        <w:tc>
          <w:tcPr>
            <w:tcW w:w="3300" w:type="dxa"/>
            <w:tcBorders/>
          </w:tcPr>
          <w:p>
            <w:pPr>
              <w:pStyle w:val="Normal"/>
              <w:spacing w:lineRule="auto" w:line="240" w:before="0" w:after="0"/>
              <w:jc w:val="start"/>
              <w:rPr/>
            </w:pPr>
            <w:r>
              <w:rPr>
                <w:rFonts w:eastAsia="Times New Roman" w:cs="Times New Roman"/>
                <w:b w:val="false"/>
                <w:bCs w:val="false"/>
                <w:i w:val="false"/>
                <w:iCs w:val="false"/>
                <w:sz w:val="20"/>
                <w:szCs w:val="20"/>
              </w:rPr>
              <w:t>Interpretive exploration of experiences and processes</w:t>
            </w:r>
          </w:p>
        </w:tc>
        <w:tc>
          <w:tcPr>
            <w:tcW w:w="2899" w:type="dxa"/>
            <w:tcBorders/>
          </w:tcPr>
          <w:p>
            <w:pPr>
              <w:pStyle w:val="Normal"/>
              <w:spacing w:lineRule="auto" w:line="240" w:before="0" w:after="0"/>
              <w:jc w:val="start"/>
              <w:rPr/>
            </w:pPr>
            <w:r>
              <w:rPr>
                <w:rFonts w:eastAsia="Times New Roman" w:cs="Times New Roman"/>
                <w:b w:val="false"/>
                <w:bCs w:val="false"/>
                <w:i w:val="false"/>
                <w:iCs w:val="false"/>
                <w:sz w:val="20"/>
                <w:szCs w:val="20"/>
              </w:rPr>
              <w:t>Interpretive: “participants described,” “themes included”</w:t>
            </w:r>
          </w:p>
        </w:tc>
        <w:tc>
          <w:tcPr>
            <w:tcW w:w="2039" w:type="dxa"/>
            <w:tcBorders/>
          </w:tcPr>
          <w:p>
            <w:pPr>
              <w:pStyle w:val="Normal"/>
              <w:spacing w:lineRule="auto" w:line="240" w:before="0" w:after="0"/>
              <w:jc w:val="start"/>
              <w:rPr/>
            </w:pPr>
            <w:r>
              <w:rPr>
                <w:rFonts w:eastAsia="Times New Roman" w:cs="Times New Roman"/>
                <w:b w:val="false"/>
                <w:bCs w:val="false"/>
                <w:i w:val="false"/>
                <w:iCs w:val="false"/>
                <w:sz w:val="20"/>
                <w:szCs w:val="20"/>
              </w:rPr>
              <w:t>N/A</w:t>
            </w:r>
          </w:p>
        </w:tc>
      </w:tr>
      <w:tr>
        <w:trPr/>
        <w:tc>
          <w:tcPr>
            <w:tcW w:w="14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POL</w:t>
            </w:r>
          </w:p>
        </w:tc>
        <w:tc>
          <w:tcPr>
            <w:tcW w:w="3300"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Regulatory, compliance, or industry-level studies</w:t>
            </w:r>
          </w:p>
        </w:tc>
        <w:tc>
          <w:tcPr>
            <w:tcW w:w="2899"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Descriptive: “X% provided,” “compliance was”</w:t>
            </w:r>
          </w:p>
        </w:tc>
        <w:tc>
          <w:tcPr>
            <w:tcW w:w="2039"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N/A</w:t>
            </w:r>
          </w:p>
        </w:tc>
      </w:tr>
    </w:tbl>
    <w:p>
      <w:pPr>
        <w:pStyle w:val="Normal"/>
        <w:spacing w:lineRule="auto" w:line="240" w:before="240" w:after="120"/>
        <w:jc w:val="start"/>
        <w:rPr/>
      </w:pPr>
      <w:r>
        <w:rPr>
          <w:rFonts w:eastAsia="Times New Roman" w:cs="Times New Roman"/>
          <w:b/>
          <w:bCs/>
          <w:sz w:val="24"/>
          <w:szCs w:val="24"/>
        </w:rPr>
        <w:t>4. Context Fields by Study Type</w:t>
      </w:r>
    </w:p>
    <w:p>
      <w:pPr>
        <w:pStyle w:val="Normal"/>
        <w:spacing w:lineRule="auto" w:line="240" w:before="0" w:after="120"/>
        <w:jc w:val="both"/>
        <w:rPr/>
      </w:pPr>
      <w:r>
        <w:rPr>
          <w:rFonts w:eastAsia="Times New Roman" w:cs="Times New Roman"/>
          <w:sz w:val="24"/>
          <w:szCs w:val="24"/>
        </w:rPr>
        <w:t>The three Block 10 context fields were interpreted differently by study category to capture the distinct contributions of each evidence type. Field names in the deposited dataset preserved the EXP/OBS form; QUAL and POL interpretations were stored in the same cells with an inline prefix ([QUAL: …] or [POL: …]).</w:t>
      </w:r>
    </w:p>
    <w:p>
      <w:pPr>
        <w:pStyle w:val="Normal"/>
        <w:spacing w:lineRule="auto" w:line="240" w:before="180" w:after="0"/>
        <w:jc w:val="start"/>
        <w:rPr/>
      </w:pPr>
      <w:r>
        <w:rPr>
          <w:rFonts w:eastAsia="Times New Roman" w:cs="Times New Roman"/>
          <w:b/>
          <w:bCs/>
          <w:sz w:val="24"/>
          <w:szCs w:val="24"/>
        </w:rPr>
        <w:t>Table 02.2.3</w:t>
      </w:r>
    </w:p>
    <w:p>
      <w:pPr>
        <w:pStyle w:val="Normal"/>
        <w:spacing w:lineRule="auto" w:line="240" w:before="0" w:after="120"/>
        <w:jc w:val="start"/>
        <w:rPr/>
      </w:pPr>
      <w:r>
        <w:rPr>
          <w:rFonts w:eastAsia="Times New Roman" w:cs="Times New Roman"/>
          <w:i/>
          <w:iCs/>
          <w:sz w:val="24"/>
          <w:szCs w:val="24"/>
        </w:rPr>
        <w:t>Context Field Interpretation by Study Category</w:t>
      </w:r>
    </w:p>
    <w:tbl>
      <w:tblPr>
        <w:tblW w:w="9638" w:type="dxa"/>
        <w:jc w:val="start"/>
        <w:tblInd w:w="0" w:type="dxa"/>
        <w:tblLayout w:type="fixed"/>
        <w:tblCellMar>
          <w:top w:w="80" w:type="dxa"/>
          <w:start w:w="100" w:type="dxa"/>
          <w:bottom w:w="80" w:type="dxa"/>
          <w:end w:w="100" w:type="dxa"/>
        </w:tblCellMar>
      </w:tblPr>
      <w:tblGrid>
        <w:gridCol w:w="1700"/>
        <w:gridCol w:w="2779"/>
        <w:gridCol w:w="2580"/>
        <w:gridCol w:w="2579"/>
      </w:tblGrid>
      <w:tr>
        <w:trPr>
          <w:tblHeader w:val="true"/>
        </w:trPr>
        <w:tc>
          <w:tcPr>
            <w:tcW w:w="1700"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Field</w:t>
            </w:r>
          </w:p>
        </w:tc>
        <w:tc>
          <w:tcPr>
            <w:tcW w:w="277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EXP / OBS</w:t>
            </w:r>
          </w:p>
        </w:tc>
        <w:tc>
          <w:tcPr>
            <w:tcW w:w="2580"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QUAL</w:t>
            </w:r>
          </w:p>
        </w:tc>
        <w:tc>
          <w:tcPr>
            <w:tcW w:w="257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POL</w:t>
            </w:r>
          </w:p>
        </w:tc>
      </w:tr>
      <w:tr>
        <w:trPr/>
        <w:tc>
          <w:tcPr>
            <w:tcW w:w="1700" w:type="dxa"/>
            <w:tcBorders/>
          </w:tcPr>
          <w:p>
            <w:pPr>
              <w:pStyle w:val="Normal"/>
              <w:spacing w:lineRule="auto" w:line="240" w:before="0" w:after="0"/>
              <w:jc w:val="start"/>
              <w:rPr/>
            </w:pPr>
            <w:r>
              <w:rPr>
                <w:rFonts w:eastAsia="Times New Roman" w:cs="Times New Roman"/>
                <w:b/>
                <w:bCs/>
                <w:sz w:val="20"/>
                <w:szCs w:val="20"/>
              </w:rPr>
              <w:t>Block 10, field 1</w:t>
            </w:r>
          </w:p>
        </w:tc>
        <w:tc>
          <w:tcPr>
            <w:tcW w:w="2779" w:type="dxa"/>
            <w:tcBorders/>
          </w:tcPr>
          <w:p>
            <w:pPr>
              <w:pStyle w:val="Normal"/>
              <w:spacing w:lineRule="auto" w:line="240" w:before="0" w:after="0"/>
              <w:jc w:val="start"/>
              <w:rPr/>
            </w:pPr>
            <w:r>
              <w:rPr>
                <w:rFonts w:eastAsia="Times New Roman" w:cs="Times New Roman"/>
                <w:b w:val="false"/>
                <w:bCs w:val="false"/>
                <w:i w:val="false"/>
                <w:iCs w:val="false"/>
                <w:sz w:val="20"/>
                <w:szCs w:val="20"/>
              </w:rPr>
              <w:t>Behavioural_Psychological_Social: mechanisms, behavioural targets, psychological principles</w:t>
            </w:r>
          </w:p>
        </w:tc>
        <w:tc>
          <w:tcPr>
            <w:tcW w:w="2580" w:type="dxa"/>
            <w:tcBorders/>
          </w:tcPr>
          <w:p>
            <w:pPr>
              <w:pStyle w:val="Normal"/>
              <w:spacing w:lineRule="auto" w:line="240" w:before="0" w:after="0"/>
              <w:jc w:val="start"/>
              <w:rPr/>
            </w:pPr>
            <w:r>
              <w:rPr>
                <w:rFonts w:eastAsia="Times New Roman" w:cs="Times New Roman"/>
                <w:b w:val="false"/>
                <w:bCs w:val="false"/>
                <w:i w:val="false"/>
                <w:iCs w:val="false"/>
                <w:sz w:val="20"/>
                <w:szCs w:val="20"/>
              </w:rPr>
              <w:t>User_Experience_Themes: key themes from participant perspectives, emotional responses</w:t>
            </w:r>
          </w:p>
        </w:tc>
        <w:tc>
          <w:tcPr>
            <w:tcW w:w="2579" w:type="dxa"/>
            <w:tcBorders/>
          </w:tcPr>
          <w:p>
            <w:pPr>
              <w:pStyle w:val="Normal"/>
              <w:spacing w:lineRule="auto" w:line="240" w:before="0" w:after="0"/>
              <w:jc w:val="start"/>
              <w:rPr/>
            </w:pPr>
            <w:r>
              <w:rPr>
                <w:rFonts w:eastAsia="Times New Roman" w:cs="Times New Roman"/>
                <w:b w:val="false"/>
                <w:bCs w:val="false"/>
                <w:i w:val="false"/>
                <w:iCs w:val="false"/>
                <w:sz w:val="20"/>
                <w:szCs w:val="20"/>
              </w:rPr>
              <w:t>Policy_Regulatory_Context: legislation, enforcement, jurisdictional details</w:t>
            </w:r>
          </w:p>
        </w:tc>
      </w:tr>
      <w:tr>
        <w:trPr/>
        <w:tc>
          <w:tcPr>
            <w:tcW w:w="1700" w:type="dxa"/>
            <w:tcBorders/>
          </w:tcPr>
          <w:p>
            <w:pPr>
              <w:pStyle w:val="Normal"/>
              <w:spacing w:lineRule="auto" w:line="240" w:before="0" w:after="0"/>
              <w:jc w:val="start"/>
              <w:rPr/>
            </w:pPr>
            <w:r>
              <w:rPr>
                <w:rFonts w:eastAsia="Times New Roman" w:cs="Times New Roman"/>
                <w:b/>
                <w:bCs/>
                <w:sz w:val="20"/>
                <w:szCs w:val="20"/>
              </w:rPr>
              <w:t>Block 10, field 2</w:t>
            </w:r>
          </w:p>
        </w:tc>
        <w:tc>
          <w:tcPr>
            <w:tcW w:w="2779" w:type="dxa"/>
            <w:tcBorders/>
          </w:tcPr>
          <w:p>
            <w:pPr>
              <w:pStyle w:val="Normal"/>
              <w:spacing w:lineRule="auto" w:line="240" w:before="0" w:after="0"/>
              <w:jc w:val="start"/>
              <w:rPr/>
            </w:pPr>
            <w:r>
              <w:rPr>
                <w:rFonts w:eastAsia="Times New Roman" w:cs="Times New Roman"/>
                <w:b w:val="false"/>
                <w:bCs w:val="false"/>
                <w:i w:val="false"/>
                <w:iCs w:val="false"/>
                <w:sz w:val="20"/>
                <w:szCs w:val="20"/>
              </w:rPr>
              <w:t>Risk_Factors_Indicators: behavioural markers for tool deployment, success/failure indicators</w:t>
            </w:r>
          </w:p>
        </w:tc>
        <w:tc>
          <w:tcPr>
            <w:tcW w:w="2580" w:type="dxa"/>
            <w:tcBorders/>
          </w:tcPr>
          <w:p>
            <w:pPr>
              <w:pStyle w:val="Normal"/>
              <w:spacing w:lineRule="auto" w:line="240" w:before="0" w:after="0"/>
              <w:jc w:val="start"/>
              <w:rPr/>
            </w:pPr>
            <w:r>
              <w:rPr>
                <w:rFonts w:eastAsia="Times New Roman" w:cs="Times New Roman"/>
                <w:b w:val="false"/>
                <w:bCs w:val="false"/>
                <w:i w:val="false"/>
                <w:iCs w:val="false"/>
                <w:sz w:val="20"/>
                <w:szCs w:val="20"/>
              </w:rPr>
              <w:t>Barriers_Facilitators: factors helping or hindering engagement, motivations, deterrents</w:t>
            </w:r>
          </w:p>
        </w:tc>
        <w:tc>
          <w:tcPr>
            <w:tcW w:w="2579" w:type="dxa"/>
            <w:tcBorders/>
          </w:tcPr>
          <w:p>
            <w:pPr>
              <w:pStyle w:val="Normal"/>
              <w:spacing w:lineRule="auto" w:line="240" w:before="0" w:after="0"/>
              <w:jc w:val="start"/>
              <w:rPr/>
            </w:pPr>
            <w:r>
              <w:rPr>
                <w:rFonts w:eastAsia="Times New Roman" w:cs="Times New Roman"/>
                <w:b w:val="false"/>
                <w:bCs w:val="false"/>
                <w:i w:val="false"/>
                <w:iCs w:val="false"/>
                <w:sz w:val="20"/>
                <w:szCs w:val="20"/>
              </w:rPr>
              <w:t>Implementation_Compliance: compliance rates, barriers, quality issues</w:t>
            </w:r>
          </w:p>
        </w:tc>
      </w:tr>
      <w:tr>
        <w:trPr/>
        <w:tc>
          <w:tcPr>
            <w:tcW w:w="17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Block 10, field 3</w:t>
            </w:r>
          </w:p>
        </w:tc>
        <w:tc>
          <w:tcPr>
            <w:tcW w:w="2779"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Economic_Behavioural_Economics: financial mechanisms, operator considerations</w:t>
            </w:r>
          </w:p>
        </w:tc>
        <w:tc>
          <w:tcPr>
            <w:tcW w:w="2580"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Design_Implications: actionable insights for tool design, user preferences</w:t>
            </w:r>
          </w:p>
        </w:tc>
        <w:tc>
          <w:tcPr>
            <w:tcW w:w="2579"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Economic_Policy_Implications: costs, resources, industry burden</w:t>
            </w:r>
          </w:p>
        </w:tc>
      </w:tr>
    </w:tbl>
    <w:p>
      <w:pPr>
        <w:pStyle w:val="Normal"/>
        <w:spacing w:lineRule="auto" w:line="240" w:before="240" w:after="120"/>
        <w:jc w:val="start"/>
        <w:rPr/>
      </w:pPr>
      <w:r>
        <w:rPr>
          <w:rFonts w:eastAsia="Times New Roman" w:cs="Times New Roman"/>
          <w:b/>
          <w:bCs/>
          <w:sz w:val="24"/>
          <w:szCs w:val="24"/>
        </w:rPr>
        <w:t>5. Key Extraction Rules</w:t>
      </w:r>
    </w:p>
    <w:p>
      <w:pPr>
        <w:pStyle w:val="Normal"/>
        <w:spacing w:lineRule="auto" w:line="240" w:before="180" w:after="100"/>
        <w:jc w:val="start"/>
        <w:rPr/>
      </w:pPr>
      <w:r>
        <w:rPr>
          <w:rFonts w:eastAsia="Times New Roman" w:cs="Times New Roman"/>
          <w:b/>
          <w:bCs/>
          <w:i/>
          <w:iCs/>
          <w:sz w:val="24"/>
          <w:szCs w:val="24"/>
        </w:rPr>
        <w:t>5.1 Unit of Extraction</w:t>
      </w:r>
    </w:p>
    <w:p>
      <w:pPr>
        <w:pStyle w:val="Normal"/>
        <w:spacing w:lineRule="auto" w:line="240" w:before="0" w:after="120"/>
        <w:jc w:val="both"/>
        <w:rPr/>
      </w:pPr>
      <w:r>
        <w:rPr>
          <w:rFonts w:eastAsia="Times New Roman" w:cs="Times New Roman"/>
          <w:sz w:val="24"/>
          <w:szCs w:val="24"/>
        </w:rPr>
        <w:t>Data were extracted at the tool level. A single paper yielded multiple extractions if it:</w:t>
      </w:r>
    </w:p>
    <w:p>
      <w:pPr>
        <w:pStyle w:val="ListParagraph"/>
        <w:numPr>
          <w:ilvl w:val="0"/>
          <w:numId w:val="3"/>
        </w:numPr>
        <w:spacing w:lineRule="auto" w:line="240" w:before="0" w:after="60"/>
        <w:jc w:val="start"/>
        <w:rPr/>
      </w:pPr>
      <w:r>
        <w:rPr>
          <w:rFonts w:eastAsia="Times New Roman" w:cs="Times New Roman"/>
          <w:sz w:val="24"/>
          <w:szCs w:val="24"/>
        </w:rPr>
        <w:t>Tested different tool types (e.g., pop-up messages and deposit limits)</w:t>
      </w:r>
    </w:p>
    <w:p>
      <w:pPr>
        <w:pStyle w:val="ListParagraph"/>
        <w:numPr>
          <w:ilvl w:val="0"/>
          <w:numId w:val="1"/>
        </w:numPr>
        <w:spacing w:lineRule="auto" w:line="240" w:before="0" w:after="60"/>
        <w:jc w:val="start"/>
        <w:rPr/>
      </w:pPr>
      <w:r>
        <w:rPr>
          <w:rFonts w:eastAsia="Times New Roman" w:cs="Times New Roman"/>
          <w:sz w:val="24"/>
          <w:szCs w:val="24"/>
        </w:rPr>
        <w:t>Compared meaningfully different versions of a tool (e.g., generic warning vs. personalised feedback)</w:t>
      </w:r>
    </w:p>
    <w:p>
      <w:pPr>
        <w:pStyle w:val="ListParagraph"/>
        <w:numPr>
          <w:ilvl w:val="0"/>
          <w:numId w:val="1"/>
        </w:numPr>
        <w:spacing w:lineRule="auto" w:line="240" w:before="0" w:after="60"/>
        <w:jc w:val="start"/>
        <w:rPr/>
      </w:pPr>
      <w:r>
        <w:rPr>
          <w:rFonts w:eastAsia="Times New Roman" w:cs="Times New Roman"/>
          <w:sz w:val="24"/>
          <w:szCs w:val="24"/>
        </w:rPr>
        <w:t>Assessed multiple RG features in a compliance audit</w:t>
      </w:r>
    </w:p>
    <w:p>
      <w:pPr>
        <w:pStyle w:val="Normal"/>
        <w:spacing w:lineRule="auto" w:line="240" w:before="0" w:after="120"/>
        <w:jc w:val="both"/>
        <w:rPr/>
      </w:pPr>
      <w:r>
        <w:rPr>
          <w:rFonts w:eastAsia="Times New Roman" w:cs="Times New Roman"/>
          <w:sz w:val="24"/>
          <w:szCs w:val="24"/>
        </w:rPr>
        <w:t>A single extraction was used when conditions were variations of the same tool (e.g., dose or frequency). Where a tool combined mechanisms from multiple categories (e.g., FEED-PERSONAL + MSG-POP), combined codes were used per the bundling rules in 02.3 Tool Codes and Domains.</w:t>
      </w:r>
    </w:p>
    <w:p>
      <w:pPr>
        <w:pStyle w:val="Normal"/>
        <w:spacing w:lineRule="auto" w:line="240" w:before="180" w:after="100"/>
        <w:jc w:val="start"/>
        <w:rPr/>
      </w:pPr>
      <w:r>
        <w:rPr>
          <w:rFonts w:eastAsia="Times New Roman" w:cs="Times New Roman"/>
          <w:b/>
          <w:bCs/>
          <w:i/>
          <w:iCs/>
          <w:sz w:val="24"/>
          <w:szCs w:val="24"/>
        </w:rPr>
        <w:t>5.2 Self-Contained Records</w:t>
      </w:r>
    </w:p>
    <w:p>
      <w:pPr>
        <w:pStyle w:val="Normal"/>
        <w:spacing w:lineRule="auto" w:line="240" w:before="0" w:after="120"/>
        <w:jc w:val="both"/>
        <w:rPr/>
      </w:pPr>
      <w:r>
        <w:rPr>
          <w:rFonts w:eastAsia="Times New Roman" w:cs="Times New Roman"/>
          <w:sz w:val="24"/>
          <w:szCs w:val="24"/>
        </w:rPr>
        <w:t>Each extraction was self-contained. Cross-references (e.g., “see above”) were not permitted. All information needed to interpret a record sat within that record.</w:t>
      </w:r>
    </w:p>
    <w:p>
      <w:pPr>
        <w:pStyle w:val="Normal"/>
        <w:spacing w:lineRule="auto" w:line="240" w:before="180" w:after="100"/>
        <w:jc w:val="start"/>
        <w:rPr/>
      </w:pPr>
      <w:r>
        <w:rPr>
          <w:rFonts w:eastAsia="Times New Roman" w:cs="Times New Roman"/>
          <w:b/>
          <w:bCs/>
          <w:i/>
          <w:iCs/>
          <w:sz w:val="24"/>
          <w:szCs w:val="24"/>
        </w:rPr>
        <w:t>5.3 Tool Description Standards</w:t>
      </w:r>
    </w:p>
    <w:p>
      <w:pPr>
        <w:pStyle w:val="Normal"/>
        <w:spacing w:lineRule="auto" w:line="240" w:before="0" w:after="120"/>
        <w:jc w:val="both"/>
        <w:rPr/>
      </w:pPr>
      <w:r>
        <w:rPr>
          <w:rFonts w:eastAsia="Times New Roman" w:cs="Times New Roman"/>
          <w:sz w:val="24"/>
          <w:szCs w:val="24"/>
        </w:rPr>
        <w:t>The Tool_Description field captured what the tool IS and DOES: not study methodology, delivery timing, or user requirements. Content focused on:</w:t>
      </w:r>
    </w:p>
    <w:p>
      <w:pPr>
        <w:pStyle w:val="ListParagraph"/>
        <w:numPr>
          <w:ilvl w:val="0"/>
          <w:numId w:val="1"/>
        </w:numPr>
        <w:spacing w:lineRule="auto" w:line="240" w:before="0" w:after="60"/>
        <w:jc w:val="start"/>
        <w:rPr/>
      </w:pPr>
      <w:r>
        <w:rPr>
          <w:rFonts w:eastAsia="Times New Roman" w:cs="Times New Roman"/>
          <w:sz w:val="24"/>
          <w:szCs w:val="24"/>
        </w:rPr>
        <w:t>Core function of the tool</w:t>
      </w:r>
    </w:p>
    <w:p>
      <w:pPr>
        <w:pStyle w:val="ListParagraph"/>
        <w:numPr>
          <w:ilvl w:val="0"/>
          <w:numId w:val="1"/>
        </w:numPr>
        <w:spacing w:lineRule="auto" w:line="240" w:before="0" w:after="60"/>
        <w:jc w:val="start"/>
        <w:rPr/>
      </w:pPr>
      <w:r>
        <w:rPr>
          <w:rFonts w:eastAsia="Times New Roman" w:cs="Times New Roman"/>
          <w:sz w:val="24"/>
          <w:szCs w:val="24"/>
        </w:rPr>
        <w:t>Content type or information provided</w:t>
      </w:r>
    </w:p>
    <w:p>
      <w:pPr>
        <w:pStyle w:val="ListParagraph"/>
        <w:numPr>
          <w:ilvl w:val="0"/>
          <w:numId w:val="1"/>
        </w:numPr>
        <w:spacing w:lineRule="auto" w:line="240" w:before="0" w:after="60"/>
        <w:jc w:val="start"/>
        <w:rPr/>
      </w:pPr>
      <w:r>
        <w:rPr>
          <w:rFonts w:eastAsia="Times New Roman" w:cs="Times New Roman"/>
          <w:sz w:val="24"/>
          <w:szCs w:val="24"/>
        </w:rPr>
        <w:t>Mechanism of action</w:t>
      </w:r>
    </w:p>
    <w:p>
      <w:pPr>
        <w:pStyle w:val="Normal"/>
        <w:spacing w:lineRule="auto" w:line="240" w:before="180" w:after="100"/>
        <w:jc w:val="start"/>
        <w:rPr/>
      </w:pPr>
      <w:r>
        <w:rPr>
          <w:rFonts w:eastAsia="Times New Roman" w:cs="Times New Roman"/>
          <w:b/>
          <w:bCs/>
          <w:i/>
          <w:iCs/>
          <w:sz w:val="24"/>
          <w:szCs w:val="24"/>
        </w:rPr>
        <w:t>5.4 Language Mode Enforcement</w:t>
      </w:r>
    </w:p>
    <w:p>
      <w:pPr>
        <w:pStyle w:val="Normal"/>
        <w:spacing w:lineRule="auto" w:line="240" w:before="0" w:after="120"/>
        <w:jc w:val="both"/>
        <w:rPr/>
      </w:pPr>
      <w:r>
        <w:rPr>
          <w:rFonts w:eastAsia="Times New Roman" w:cs="Times New Roman"/>
          <w:sz w:val="24"/>
          <w:szCs w:val="24"/>
        </w:rPr>
        <w:t>Causal language (“reduced,” “caused,” “prevented”) was permitted only for EXP studies. For OBS studies, even when analysing tool users, associational language was required: “players who used the tool showed reduced activity” rather than “the tool reduced activity.” Self-selection into tool use precludes causal claims.</w:t>
      </w:r>
    </w:p>
    <w:p>
      <w:pPr>
        <w:pStyle w:val="Normal"/>
        <w:spacing w:lineRule="auto" w:line="240" w:before="180" w:after="100"/>
        <w:jc w:val="start"/>
        <w:rPr/>
      </w:pPr>
      <w:r>
        <w:rPr>
          <w:rFonts w:eastAsia="Times New Roman" w:cs="Times New Roman"/>
          <w:b/>
          <w:bCs/>
          <w:i/>
          <w:iCs/>
          <w:sz w:val="24"/>
          <w:szCs w:val="24"/>
        </w:rPr>
        <w:t>5.5 Quality Ratings</w:t>
      </w:r>
    </w:p>
    <w:p>
      <w:pPr>
        <w:pStyle w:val="Normal"/>
        <w:spacing w:lineRule="auto" w:line="240" w:before="0" w:after="120"/>
        <w:jc w:val="both"/>
        <w:rPr/>
      </w:pPr>
      <w:r>
        <w:rPr>
          <w:rFonts w:eastAsia="Times New Roman" w:cs="Times New Roman"/>
          <w:sz w:val="24"/>
          <w:szCs w:val="24"/>
        </w:rPr>
        <w:t>Evidence quality was rated on a five-level scale with a direction indicator:</w:t>
      </w:r>
    </w:p>
    <w:p>
      <w:pPr>
        <w:pStyle w:val="ListParagraph"/>
        <w:numPr>
          <w:ilvl w:val="0"/>
          <w:numId w:val="1"/>
        </w:numPr>
        <w:spacing w:lineRule="auto" w:line="240" w:before="0" w:after="60"/>
        <w:jc w:val="start"/>
        <w:rPr/>
      </w:pPr>
      <w:r>
        <w:rPr>
          <w:rFonts w:eastAsia="Times New Roman" w:cs="Times New Roman"/>
          <w:sz w:val="24"/>
          <w:szCs w:val="24"/>
        </w:rPr>
        <w:t>HIGH: Randomised design with objective behavioural outcomes, extended follow-up, multiple operators or jurisdictions, validated measures, low attrition, and pre-registration; findings highly trustworthy</w:t>
      </w:r>
    </w:p>
    <w:p>
      <w:pPr>
        <w:pStyle w:val="ListParagraph"/>
        <w:numPr>
          <w:ilvl w:val="0"/>
          <w:numId w:val="1"/>
        </w:numPr>
        <w:spacing w:lineRule="auto" w:line="240" w:before="0" w:after="60"/>
        <w:jc w:val="start"/>
        <w:rPr/>
      </w:pPr>
      <w:r>
        <w:rPr>
          <w:rFonts w:eastAsia="Times New Roman" w:cs="Times New Roman"/>
          <w:sz w:val="24"/>
          <w:szCs w:val="24"/>
        </w:rPr>
        <w:t>MODERATE-HIGH: Strong designs meeting most but not all HIGH criteria; findings generally trustworthy with minor caveats</w:t>
      </w:r>
    </w:p>
    <w:p>
      <w:pPr>
        <w:pStyle w:val="ListParagraph"/>
        <w:numPr>
          <w:ilvl w:val="0"/>
          <w:numId w:val="1"/>
        </w:numPr>
        <w:spacing w:lineRule="auto" w:line="240" w:before="0" w:after="60"/>
        <w:jc w:val="start"/>
        <w:rPr/>
      </w:pPr>
      <w:r>
        <w:rPr>
          <w:rFonts w:eastAsia="Times New Roman" w:cs="Times New Roman"/>
          <w:sz w:val="24"/>
          <w:szCs w:val="24"/>
        </w:rPr>
        <w:t>MODERATE: Sound methodology with meaningful limitations; findings informative but require cautious interpretation</w:t>
      </w:r>
    </w:p>
    <w:p>
      <w:pPr>
        <w:pStyle w:val="ListParagraph"/>
        <w:numPr>
          <w:ilvl w:val="0"/>
          <w:numId w:val="1"/>
        </w:numPr>
        <w:spacing w:lineRule="auto" w:line="240" w:before="0" w:after="60"/>
        <w:jc w:val="start"/>
        <w:rPr/>
      </w:pPr>
      <w:r>
        <w:rPr>
          <w:rFonts w:eastAsia="Times New Roman" w:cs="Times New Roman"/>
          <w:sz w:val="24"/>
          <w:szCs w:val="24"/>
        </w:rPr>
        <w:t>LOW-MODERATE: Acceptable methodology with substantial limitations; limited confidence in causal claims</w:t>
      </w:r>
    </w:p>
    <w:p>
      <w:pPr>
        <w:pStyle w:val="ListParagraph"/>
        <w:numPr>
          <w:ilvl w:val="0"/>
          <w:numId w:val="1"/>
        </w:numPr>
        <w:spacing w:lineRule="auto" w:line="240" w:before="0" w:after="60"/>
        <w:jc w:val="start"/>
        <w:rPr/>
      </w:pPr>
      <w:r>
        <w:rPr>
          <w:rFonts w:eastAsia="Times New Roman" w:cs="Times New Roman"/>
          <w:sz w:val="24"/>
          <w:szCs w:val="24"/>
        </w:rPr>
        <w:t>LOW: Significant methodological concerns; findings may not be trustworthy</w:t>
      </w:r>
    </w:p>
    <w:p>
      <w:pPr>
        <w:pStyle w:val="Normal"/>
        <w:spacing w:lineRule="auto" w:line="240" w:before="0" w:after="120"/>
        <w:jc w:val="both"/>
        <w:rPr/>
      </w:pPr>
      <w:r>
        <w:rPr>
          <w:rFonts w:eastAsia="Times New Roman" w:cs="Times New Roman"/>
          <w:sz w:val="24"/>
          <w:szCs w:val="24"/>
        </w:rPr>
        <w:t>Direction indicators captured finding valence: positive (supports effectiveness), negative (ineffectiveness or harm), mixed (variable or conditional effects), or null (no significant effects). See 02.5 for full quality tier definitions and 02.4 for direction-value definitions; both include inclusion and exclusion criteria and worked examples.</w:t>
      </w:r>
    </w:p>
    <w:p>
      <w:pPr>
        <w:pStyle w:val="Normal"/>
        <w:spacing w:lineRule="auto" w:line="240" w:before="180" w:after="100"/>
        <w:jc w:val="start"/>
        <w:rPr/>
      </w:pPr>
      <w:r>
        <w:rPr>
          <w:rFonts w:eastAsia="Times New Roman" w:cs="Times New Roman"/>
          <w:b/>
          <w:bCs/>
          <w:i/>
          <w:iCs/>
          <w:sz w:val="24"/>
          <w:szCs w:val="24"/>
        </w:rPr>
        <w:t>5.6 Implementation Readiness Classification</w:t>
      </w:r>
    </w:p>
    <w:p>
      <w:pPr>
        <w:pStyle w:val="Normal"/>
        <w:spacing w:lineRule="auto" w:line="240" w:before="0" w:after="120"/>
        <w:jc w:val="both"/>
        <w:rPr/>
      </w:pPr>
      <w:r>
        <w:rPr>
          <w:rFonts w:eastAsia="Times New Roman" w:cs="Times New Roman"/>
          <w:sz w:val="24"/>
          <w:szCs w:val="24"/>
        </w:rPr>
        <w:t>Tools were classified into four readiness levels by evidence context. The glosses below are working summaries.</w:t>
      </w:r>
    </w:p>
    <w:p>
      <w:pPr>
        <w:pStyle w:val="Normal"/>
        <w:spacing w:lineRule="auto" w:line="240" w:before="180" w:after="0"/>
        <w:jc w:val="start"/>
        <w:rPr/>
      </w:pPr>
      <w:r>
        <w:rPr>
          <w:rFonts w:eastAsia="Times New Roman" w:cs="Times New Roman"/>
          <w:b/>
          <w:bCs/>
          <w:sz w:val="24"/>
          <w:szCs w:val="24"/>
        </w:rPr>
        <w:t>Table 02.2.4</w:t>
      </w:r>
    </w:p>
    <w:p>
      <w:pPr>
        <w:pStyle w:val="Normal"/>
        <w:spacing w:lineRule="auto" w:line="240" w:before="0" w:after="120"/>
        <w:jc w:val="start"/>
        <w:rPr/>
      </w:pPr>
      <w:r>
        <w:rPr>
          <w:rFonts w:eastAsia="Times New Roman" w:cs="Times New Roman"/>
          <w:i/>
          <w:iCs/>
          <w:sz w:val="24"/>
          <w:szCs w:val="24"/>
        </w:rPr>
        <w:t>Implementation Readiness Levels</w:t>
      </w:r>
    </w:p>
    <w:tbl>
      <w:tblPr>
        <w:tblW w:w="9638" w:type="dxa"/>
        <w:jc w:val="start"/>
        <w:tblInd w:w="0" w:type="dxa"/>
        <w:tblLayout w:type="fixed"/>
        <w:tblCellMar>
          <w:top w:w="80" w:type="dxa"/>
          <w:start w:w="100" w:type="dxa"/>
          <w:bottom w:w="80" w:type="dxa"/>
          <w:end w:w="100" w:type="dxa"/>
        </w:tblCellMar>
      </w:tblPr>
      <w:tblGrid>
        <w:gridCol w:w="1499"/>
        <w:gridCol w:w="8139"/>
      </w:tblGrid>
      <w:tr>
        <w:trPr>
          <w:tblHeader w:val="true"/>
        </w:trPr>
        <w:tc>
          <w:tcPr>
            <w:tcW w:w="149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Level</w:t>
            </w:r>
          </w:p>
        </w:tc>
        <w:tc>
          <w:tcPr>
            <w:tcW w:w="8139" w:type="dxa"/>
            <w:tcBorders>
              <w:top w:val="single" w:sz="8" w:space="0" w:color="000000"/>
              <w:bottom w:val="single" w:sz="4" w:space="0" w:color="000000"/>
            </w:tcBorders>
          </w:tcPr>
          <w:p>
            <w:pPr>
              <w:pStyle w:val="Normal"/>
              <w:spacing w:lineRule="auto" w:line="240" w:before="0" w:after="0"/>
              <w:jc w:val="start"/>
              <w:rPr/>
            </w:pPr>
            <w:r>
              <w:rPr>
                <w:rFonts w:eastAsia="Times New Roman" w:cs="Times New Roman"/>
                <w:b/>
                <w:bCs/>
                <w:i w:val="false"/>
                <w:iCs w:val="false"/>
                <w:sz w:val="24"/>
                <w:szCs w:val="24"/>
              </w:rPr>
              <w:t>Definition</w:t>
            </w:r>
          </w:p>
        </w:tc>
      </w:tr>
      <w:tr>
        <w:trPr/>
        <w:tc>
          <w:tcPr>
            <w:tcW w:w="1499" w:type="dxa"/>
            <w:tcBorders/>
          </w:tcPr>
          <w:p>
            <w:pPr>
              <w:pStyle w:val="Normal"/>
              <w:spacing w:lineRule="auto" w:line="240" w:before="0" w:after="0"/>
              <w:jc w:val="start"/>
              <w:rPr/>
            </w:pPr>
            <w:r>
              <w:rPr>
                <w:rFonts w:eastAsia="Times New Roman" w:cs="Times New Roman"/>
                <w:b/>
                <w:bCs/>
                <w:sz w:val="20"/>
                <w:szCs w:val="20"/>
              </w:rPr>
              <w:t>Deployed</w:t>
            </w:r>
          </w:p>
        </w:tc>
        <w:tc>
          <w:tcPr>
            <w:tcW w:w="8139" w:type="dxa"/>
            <w:tcBorders/>
          </w:tcPr>
          <w:p>
            <w:pPr>
              <w:pStyle w:val="Normal"/>
              <w:spacing w:lineRule="auto" w:line="240" w:before="0" w:after="0"/>
              <w:jc w:val="start"/>
              <w:rPr/>
            </w:pPr>
            <w:r>
              <w:rPr>
                <w:rFonts w:eastAsia="Times New Roman" w:cs="Times New Roman"/>
                <w:b w:val="false"/>
                <w:bCs w:val="false"/>
                <w:i w:val="false"/>
                <w:iCs w:val="false"/>
                <w:sz w:val="20"/>
                <w:szCs w:val="20"/>
              </w:rPr>
              <w:t>Tool in active use at real operators (operator name in setting, “mandatory,” “operational,” industry-standard feature)</w:t>
            </w:r>
          </w:p>
        </w:tc>
      </w:tr>
      <w:tr>
        <w:trPr/>
        <w:tc>
          <w:tcPr>
            <w:tcW w:w="1499" w:type="dxa"/>
            <w:tcBorders/>
          </w:tcPr>
          <w:p>
            <w:pPr>
              <w:pStyle w:val="Normal"/>
              <w:spacing w:lineRule="auto" w:line="240" w:before="0" w:after="0"/>
              <w:jc w:val="start"/>
              <w:rPr/>
            </w:pPr>
            <w:r>
              <w:rPr>
                <w:rFonts w:eastAsia="Times New Roman" w:cs="Times New Roman"/>
                <w:b/>
                <w:bCs/>
                <w:sz w:val="20"/>
                <w:szCs w:val="20"/>
              </w:rPr>
              <w:t>Validated</w:t>
            </w:r>
          </w:p>
        </w:tc>
        <w:tc>
          <w:tcPr>
            <w:tcW w:w="8139" w:type="dxa"/>
            <w:tcBorders/>
          </w:tcPr>
          <w:p>
            <w:pPr>
              <w:pStyle w:val="Normal"/>
              <w:spacing w:lineRule="auto" w:line="240" w:before="0" w:after="0"/>
              <w:jc w:val="start"/>
              <w:rPr/>
            </w:pPr>
            <w:r>
              <w:rPr>
                <w:rFonts w:eastAsia="Times New Roman" w:cs="Times New Roman"/>
                <w:b w:val="false"/>
                <w:bCs w:val="false"/>
                <w:i w:val="false"/>
                <w:iCs w:val="false"/>
                <w:sz w:val="20"/>
                <w:szCs w:val="20"/>
              </w:rPr>
              <w:t>Tested with real gamblers in real settings (clinical trials, field trials on live platforms, community samples)</w:t>
            </w:r>
          </w:p>
        </w:tc>
      </w:tr>
      <w:tr>
        <w:trPr/>
        <w:tc>
          <w:tcPr>
            <w:tcW w:w="1499" w:type="dxa"/>
            <w:tcBorders/>
          </w:tcPr>
          <w:p>
            <w:pPr>
              <w:pStyle w:val="Normal"/>
              <w:spacing w:lineRule="auto" w:line="240" w:before="0" w:after="0"/>
              <w:jc w:val="start"/>
              <w:rPr/>
            </w:pPr>
            <w:r>
              <w:rPr>
                <w:rFonts w:eastAsia="Times New Roman" w:cs="Times New Roman"/>
                <w:b/>
                <w:bCs/>
                <w:sz w:val="20"/>
                <w:szCs w:val="20"/>
              </w:rPr>
              <w:t>Tested</w:t>
            </w:r>
          </w:p>
        </w:tc>
        <w:tc>
          <w:tcPr>
            <w:tcW w:w="8139" w:type="dxa"/>
            <w:tcBorders/>
          </w:tcPr>
          <w:p>
            <w:pPr>
              <w:pStyle w:val="Normal"/>
              <w:spacing w:lineRule="auto" w:line="240" w:before="0" w:after="0"/>
              <w:jc w:val="start"/>
              <w:rPr/>
            </w:pPr>
            <w:r>
              <w:rPr>
                <w:rFonts w:eastAsia="Times New Roman" w:cs="Times New Roman"/>
                <w:b w:val="false"/>
                <w:bCs w:val="false"/>
                <w:i w:val="false"/>
                <w:iCs w:val="false"/>
                <w:sz w:val="20"/>
                <w:szCs w:val="20"/>
              </w:rPr>
              <w:t>Lab and research stage only (laboratory, simulated gambling, VR, survey-based message evaluation)</w:t>
            </w:r>
          </w:p>
        </w:tc>
      </w:tr>
      <w:tr>
        <w:trPr/>
        <w:tc>
          <w:tcPr>
            <w:tcW w:w="1499"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Conceptual</w:t>
            </w:r>
          </w:p>
        </w:tc>
        <w:tc>
          <w:tcPr>
            <w:tcW w:w="8139" w:type="dxa"/>
            <w:tcBorders>
              <w:bottom w:val="single" w:sz="8" w:space="0" w:color="000000"/>
            </w:tcBorders>
          </w:tcPr>
          <w:p>
            <w:pPr>
              <w:pStyle w:val="Normal"/>
              <w:spacing w:lineRule="auto" w:line="240" w:before="0" w:after="0"/>
              <w:jc w:val="start"/>
              <w:rPr/>
            </w:pPr>
            <w:r>
              <w:rPr>
                <w:rFonts w:eastAsia="Times New Roman" w:cs="Times New Roman"/>
                <w:b w:val="false"/>
                <w:bCs w:val="false"/>
                <w:i w:val="false"/>
                <w:iCs w:val="false"/>
                <w:sz w:val="20"/>
                <w:szCs w:val="20"/>
              </w:rPr>
              <w:t>Framework, detection model, design principle, or theoretical (qualitative taxonomies, surveys of self-regulatory strategies, population-derived thresholds)</w:t>
            </w:r>
          </w:p>
        </w:tc>
      </w:tr>
    </w:tbl>
    <w:p>
      <w:pPr>
        <w:pStyle w:val="Normal"/>
        <w:spacing w:lineRule="auto" w:line="240" w:before="0" w:after="120"/>
        <w:jc w:val="both"/>
        <w:rPr/>
      </w:pPr>
      <w:r>
        <w:rPr>
          <w:rFonts w:eastAsia="Times New Roman" w:cs="Times New Roman"/>
          <w:sz w:val="24"/>
          <w:szCs w:val="24"/>
        </w:rPr>
        <w:t>Classification described the tool’s readiness, not the study’s contribution. Attitudes and acceptability surveys, and laboratory evaluations of existing features, were classified as Conceptual. The same paper may yield different levels for different tools (e.g., an existing industry message = Deployed; an alternative being tested = Tested). Full definitions are in 02.5.</w:t>
      </w:r>
    </w:p>
    <w:p>
      <w:pPr>
        <w:pStyle w:val="Normal"/>
        <w:spacing w:lineRule="auto" w:line="240" w:before="180" w:after="100"/>
        <w:jc w:val="start"/>
        <w:rPr/>
      </w:pPr>
      <w:r>
        <w:rPr>
          <w:rFonts w:eastAsia="Times New Roman" w:cs="Times New Roman"/>
          <w:b/>
          <w:bCs/>
          <w:i/>
          <w:iCs/>
          <w:sz w:val="24"/>
          <w:szCs w:val="24"/>
        </w:rPr>
        <w:t>5.7 Implementation Notes Requirement</w:t>
      </w:r>
    </w:p>
    <w:p>
      <w:pPr>
        <w:pStyle w:val="Normal"/>
        <w:spacing w:lineRule="auto" w:line="240" w:before="0" w:after="120"/>
        <w:jc w:val="both"/>
        <w:rPr/>
      </w:pPr>
      <w:r>
        <w:rPr>
          <w:rFonts w:eastAsia="Times New Roman" w:cs="Times New Roman"/>
          <w:sz w:val="24"/>
          <w:szCs w:val="24"/>
        </w:rPr>
        <w:t>All extractions required Implementation_Notes addressing online translation potential, regardless of original study context. The field documented considerations for deploying the tool in digital gambling environments.</w:t>
      </w:r>
    </w:p>
    <w:p>
      <w:pPr>
        <w:pStyle w:val="Normal"/>
        <w:spacing w:lineRule="auto" w:line="240" w:before="180" w:after="100"/>
        <w:jc w:val="start"/>
        <w:rPr/>
      </w:pPr>
      <w:r>
        <w:rPr>
          <w:rFonts w:eastAsia="Times New Roman" w:cs="Times New Roman"/>
          <w:b/>
          <w:bCs/>
          <w:i/>
          <w:iCs/>
          <w:sz w:val="24"/>
          <w:szCs w:val="24"/>
        </w:rPr>
        <w:t>5.8 Dataset Storage Conventions</w:t>
      </w:r>
    </w:p>
    <w:p>
      <w:pPr>
        <w:pStyle w:val="Normal"/>
        <w:spacing w:lineRule="auto" w:line="240" w:before="0" w:after="120"/>
        <w:jc w:val="both"/>
        <w:rPr/>
      </w:pPr>
      <w:r>
        <w:rPr>
          <w:rFonts w:eastAsia="Times New Roman" w:cs="Times New Roman"/>
          <w:sz w:val="24"/>
          <w:szCs w:val="24"/>
        </w:rPr>
        <w:t>The 45 formal fields were stored in the deposited dataset across 37 columns using the following conventions.</w:t>
      </w:r>
    </w:p>
    <w:p>
      <w:pPr>
        <w:pStyle w:val="Normal"/>
        <w:spacing w:lineRule="auto" w:line="240" w:before="0" w:after="120"/>
        <w:jc w:val="both"/>
        <w:rPr/>
      </w:pPr>
      <w:r>
        <w:rPr>
          <w:rFonts w:eastAsia="Times New Roman" w:cs="Times New Roman"/>
          <w:b/>
          <w:bCs/>
          <w:sz w:val="24"/>
          <w:szCs w:val="24"/>
        </w:rPr>
        <w:t xml:space="preserve">Compound columns with sub-field labels. </w:t>
      </w:r>
      <w:r>
        <w:rPr>
          <w:rFonts w:eastAsia="Times New Roman" w:cs="Times New Roman"/>
          <w:sz w:val="24"/>
          <w:szCs w:val="24"/>
        </w:rPr>
        <w:t xml:space="preserve">From v8, each sub-field was written as </w:t>
      </w:r>
      <w:r>
        <w:rPr>
          <w:rFonts w:eastAsia="Times New Roman" w:cs="Times New Roman"/>
          <w:i/>
          <w:iCs/>
          <w:sz w:val="24"/>
          <w:szCs w:val="24"/>
        </w:rPr>
        <w:t>Sub-field: CODE | free text</w:t>
      </w:r>
      <w:r>
        <w:rPr>
          <w:rFonts w:eastAsia="Times New Roman" w:cs="Times New Roman"/>
          <w:sz w:val="24"/>
          <w:szCs w:val="24"/>
        </w:rPr>
        <w:t>, with sub-fields separated by a period. The controlled-vocabulary code (where applicable) appeared before the pipe; free-text descriptors after. Sub-fields without a controlled vocabulary contained free text only. Five compound columns used this format:</w:t>
      </w:r>
    </w:p>
    <w:p>
      <w:pPr>
        <w:pStyle w:val="ListParagraph"/>
        <w:numPr>
          <w:ilvl w:val="0"/>
          <w:numId w:val="1"/>
        </w:numPr>
        <w:spacing w:lineRule="auto" w:line="240" w:before="0" w:after="60"/>
        <w:jc w:val="start"/>
        <w:rPr/>
      </w:pPr>
      <w:r>
        <w:rPr>
          <w:rFonts w:eastAsia="Times New Roman" w:cs="Times New Roman"/>
          <w:sz w:val="24"/>
          <w:szCs w:val="24"/>
        </w:rPr>
        <w:t>Country_Jurisdiction = Country + Regulatory_Context (free text in both sub-fields)</w:t>
      </w:r>
    </w:p>
    <w:p>
      <w:pPr>
        <w:pStyle w:val="ListParagraph"/>
        <w:numPr>
          <w:ilvl w:val="0"/>
          <w:numId w:val="1"/>
        </w:numPr>
        <w:spacing w:lineRule="auto" w:line="240" w:before="0" w:after="60"/>
        <w:jc w:val="start"/>
        <w:rPr/>
      </w:pPr>
      <w:r>
        <w:rPr>
          <w:rFonts w:eastAsia="Times New Roman" w:cs="Times New Roman"/>
          <w:sz w:val="24"/>
          <w:szCs w:val="24"/>
        </w:rPr>
        <w:t>Game_Type = Platform_Type + Money_Type (free text in both sub-fields)</w:t>
      </w:r>
    </w:p>
    <w:p>
      <w:pPr>
        <w:pStyle w:val="ListParagraph"/>
        <w:numPr>
          <w:ilvl w:val="0"/>
          <w:numId w:val="1"/>
        </w:numPr>
        <w:spacing w:lineRule="auto" w:line="240" w:before="0" w:after="60"/>
        <w:jc w:val="start"/>
        <w:rPr/>
      </w:pPr>
      <w:r>
        <w:rPr>
          <w:rFonts w:eastAsia="Times New Roman" w:cs="Times New Roman"/>
          <w:sz w:val="24"/>
          <w:szCs w:val="24"/>
        </w:rPr>
        <w:t>Delivery_Mechanism = Modality + Timing + Trigger + Frequency + Duration (controlled vocabulary on Modality, Timing, Trigger, and Frequency; Duration is free text)</w:t>
      </w:r>
    </w:p>
    <w:p>
      <w:pPr>
        <w:pStyle w:val="ListParagraph"/>
        <w:numPr>
          <w:ilvl w:val="0"/>
          <w:numId w:val="1"/>
        </w:numPr>
        <w:spacing w:lineRule="auto" w:line="240" w:before="0" w:after="60"/>
        <w:jc w:val="start"/>
        <w:rPr/>
      </w:pPr>
      <w:r>
        <w:rPr>
          <w:rFonts w:eastAsia="Times New Roman" w:cs="Times New Roman"/>
          <w:sz w:val="24"/>
          <w:szCs w:val="24"/>
        </w:rPr>
        <w:t>User_Interaction = Control + Engagement + Personalisation (controlled vocabulary on all three)</w:t>
      </w:r>
    </w:p>
    <w:p>
      <w:pPr>
        <w:pStyle w:val="ListParagraph"/>
        <w:numPr>
          <w:ilvl w:val="0"/>
          <w:numId w:val="1"/>
        </w:numPr>
        <w:spacing w:lineRule="auto" w:line="240" w:before="0" w:after="60"/>
        <w:jc w:val="start"/>
        <w:rPr/>
      </w:pPr>
      <w:r>
        <w:rPr>
          <w:rFonts w:eastAsia="Times New Roman" w:cs="Times New Roman"/>
          <w:sz w:val="24"/>
          <w:szCs w:val="24"/>
        </w:rPr>
        <w:t>Measurement_Method = Instruments + Timepoints + Procedure (free text in all sub-fields)</w:t>
      </w:r>
    </w:p>
    <w:p>
      <w:pPr>
        <w:pStyle w:val="Normal"/>
        <w:spacing w:lineRule="auto" w:line="240" w:before="0" w:after="120"/>
        <w:jc w:val="both"/>
        <w:rPr/>
      </w:pPr>
      <w:r>
        <w:rPr>
          <w:rFonts w:eastAsia="Times New Roman" w:cs="Times New Roman"/>
          <w:b/>
          <w:bCs/>
          <w:sz w:val="24"/>
          <w:szCs w:val="24"/>
        </w:rPr>
        <w:t xml:space="preserve">Example. </w:t>
      </w:r>
      <w:r>
        <w:rPr>
          <w:rFonts w:eastAsia="Times New Roman" w:cs="Times New Roman"/>
          <w:sz w:val="24"/>
          <w:szCs w:val="24"/>
        </w:rPr>
        <w:t xml:space="preserve">A User_Interaction cell may read: </w:t>
      </w:r>
      <w:r>
        <w:rPr>
          <w:rFonts w:eastAsia="Times New Roman" w:cs="Times New Roman"/>
          <w:i/>
          <w:iCs/>
          <w:sz w:val="24"/>
          <w:szCs w:val="24"/>
        </w:rPr>
        <w:t>Control: VOLUNTARY | player-initiated through account settings. Engagement: INPUT-REQUIRED | numeric entry. Personalisation: USER-SET | player selects threshold value.</w:t>
      </w:r>
    </w:p>
    <w:p>
      <w:pPr>
        <w:pStyle w:val="Normal"/>
        <w:spacing w:lineRule="auto" w:line="240" w:before="0" w:after="120"/>
        <w:jc w:val="both"/>
        <w:rPr/>
      </w:pPr>
      <w:r>
        <w:rPr>
          <w:rFonts w:eastAsia="Times New Roman" w:cs="Times New Roman"/>
          <w:b/>
          <w:bCs/>
          <w:sz w:val="24"/>
          <w:szCs w:val="24"/>
        </w:rPr>
        <w:t xml:space="preserve">Controlled vocabulary codes. </w:t>
      </w:r>
      <w:r>
        <w:rPr>
          <w:rFonts w:eastAsia="Times New Roman" w:cs="Times New Roman"/>
          <w:sz w:val="24"/>
          <w:szCs w:val="24"/>
        </w:rPr>
        <w:t>Codes for Study_Design, Data_Source, Modality, Timing, Trigger, Frequency, Control, Engagement, and Personalisation are listed in summary form in Table 02.2.1. Full definitions, inclusion and exclusion criteria, and current record counts are in the Controlled_Vocabularies sheet of [OSF: 03_1_Taxonomy_Dataset.xlsx]. The Excel sheet is the authoritative source for code definitions; this codebook documents the structural framework.</w:t>
      </w:r>
    </w:p>
    <w:p>
      <w:pPr>
        <w:pStyle w:val="Normal"/>
        <w:spacing w:lineRule="auto" w:line="240" w:before="0" w:after="120"/>
        <w:jc w:val="both"/>
        <w:rPr/>
      </w:pPr>
      <w:r>
        <w:rPr>
          <w:rFonts w:eastAsia="Times New Roman" w:cs="Times New Roman"/>
          <w:b/>
          <w:bCs/>
          <w:sz w:val="24"/>
          <w:szCs w:val="24"/>
        </w:rPr>
        <w:t xml:space="preserve">Split column. </w:t>
      </w:r>
      <w:r>
        <w:rPr>
          <w:rFonts w:eastAsia="Times New Roman" w:cs="Times New Roman"/>
          <w:sz w:val="24"/>
          <w:szCs w:val="24"/>
        </w:rPr>
        <w:t>Study_Sample is captured across three columns (Sample_N, Sample_Description, Sample_Severity) for granular coding; these count as one formal field.</w:t>
      </w:r>
    </w:p>
    <w:p>
      <w:pPr>
        <w:pStyle w:val="Normal"/>
        <w:spacing w:lineRule="auto" w:line="240" w:before="0" w:after="120"/>
        <w:jc w:val="both"/>
        <w:rPr/>
      </w:pPr>
      <w:r>
        <w:rPr>
          <w:rFonts w:eastAsia="Times New Roman" w:cs="Times New Roman"/>
          <w:b/>
          <w:bCs/>
          <w:sz w:val="24"/>
          <w:szCs w:val="24"/>
        </w:rPr>
        <w:t xml:space="preserve">Single-cell columns. </w:t>
      </w:r>
      <w:r>
        <w:rPr>
          <w:rFonts w:eastAsia="Times New Roman" w:cs="Times New Roman"/>
          <w:sz w:val="24"/>
          <w:szCs w:val="24"/>
        </w:rPr>
        <w:t>The remaining formal fields occupy one cell per extraction.</w:t>
      </w:r>
    </w:p>
    <w:p>
      <w:pPr>
        <w:pStyle w:val="Normal"/>
        <w:spacing w:lineRule="auto" w:line="240" w:before="0" w:after="120"/>
        <w:jc w:val="both"/>
        <w:rPr/>
      </w:pPr>
      <w:r>
        <w:rPr>
          <w:rFonts w:eastAsia="Times New Roman" w:cs="Times New Roman"/>
          <w:sz w:val="24"/>
          <w:szCs w:val="24"/>
        </w:rPr>
        <w:t>An extractor-aid column (TL;DR) gave a plain-language summary of each record. It is not a formal field, does not count toward the 45-field total, and is not required for downstream analysis.</w:t>
      </w:r>
    </w:p>
    <w:p>
      <w:pPr>
        <w:pStyle w:val="Normal"/>
        <w:spacing w:lineRule="auto" w:line="240" w:before="60" w:after="240"/>
        <w:jc w:val="start"/>
        <w:rPr/>
      </w:pPr>
      <w:r>
        <w:rPr>
          <w:rFonts w:eastAsia="Times New Roman" w:cs="Times New Roman"/>
          <w:i/>
          <w:iCs/>
          <w:sz w:val="20"/>
          <w:szCs w:val="20"/>
        </w:rPr>
        <w:t xml:space="preserve">Note. </w:t>
      </w:r>
      <w:r>
        <w:rPr>
          <w:rFonts w:eastAsia="Times New Roman" w:cs="Times New Roman"/>
          <w:sz w:val="20"/>
          <w:szCs w:val="20"/>
        </w:rPr>
        <w:t>RG = responsible gambling. Tool codes are defined in 02.3 Tool Codes and Domains. Quality tier rubrics are in 02.5 Evidence Quality and Readiness. Direction-value rubrics are in 02.4 Evidence Direction and Sample Size.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15.0000</AppVersion>
  <Pages>4</Pages>
  <Words>669</Words>
  <Characters>4436</Characters>
  <CharactersWithSpaces>5055</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2026-05-01T11:39:09Z</dcterms:created>
  <dc:creator>Harriet Galvin</dc:creator>
  <dc:description/>
  <dc:language>en-US</dc:language>
  <cp:lastModifiedBy>Harriet Galvin</cp:lastModifiedBy>
  <dcterms:modified xsi:type="dcterms:W3CDTF">2026-09-28T09:18:18Z</dcterms:modified>
  <cp:revision>2</cp:revision>
  <dc:subject/>
  <dc:title/>
</cp:coreProperties>
</file>