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jc w:val="center"/>
      </w:pPr>
      <w:r>
        <w:rPr>
          <w:rFonts w:ascii="Times New Roman" w:cs="Times New Roman" w:eastAsia="Times New Roman" w:hAnsi="Times New Roman"/>
          <w:b/>
          <w:bCs/>
          <w:sz w:val="28"/>
          <w:szCs w:val="28"/>
        </w:rPr>
        <w:t xml:space="preserve">02.4 Evidence Direction and Sample Size</w:t>
      </w:r>
    </w:p>
    <w:p>
      <w:pPr>
        <w:spacing w:after="240" w:before="0" w:line="240"/>
        <w:jc w:val="center"/>
      </w:pPr>
      <w:r>
        <w:rPr>
          <w:rFonts w:ascii="Times New Roman" w:cs="Times New Roman" w:eastAsia="Times New Roman" w:hAnsi="Times New Roman"/>
          <w:i/>
          <w:iCs/>
          <w:sz w:val="24"/>
          <w:szCs w:val="24"/>
        </w:rPr>
        <w:t xml:space="preserve">Coding Protocol: Evidence Direction and Sample Size Extraction Rules</w:t>
      </w:r>
    </w:p>
    <w:p>
      <w:pPr>
        <w:spacing w:after="120" w:before="0" w:line="240"/>
        <w:jc w:val="both"/>
      </w:pPr>
      <w:r>
        <w:rPr>
          <w:rFonts w:ascii="Times New Roman" w:cs="Times New Roman" w:eastAsia="Times New Roman" w:hAnsi="Times New Roman"/>
          <w:sz w:val="24"/>
          <w:szCs w:val="24"/>
        </w:rPr>
        <w:t>This protocol documents three record-level coding rules used across the 410 extraction records: the direction-of-finding indicator appended to each evidence quality rating; the sample size extraction convention that produces the 148-record subset used for sample-size summaries (per-record sample sizes are available in the taxonomy dataset, Appendix 03.1); and, added in version 2 (September 2026), the counting rule used to classify the 54 universal-tool records by whether their evaluated samples included moderate-risk gamblers (Section 3).</w:t>
      </w:r>
    </w:p>
    <w:p>
      <w:pPr>
        <w:spacing w:after="120" w:before="240" w:line="240"/>
        <w:jc w:val="left"/>
      </w:pPr>
      <w:r>
        <w:rPr>
          <w:rFonts w:ascii="Times New Roman" w:cs="Times New Roman" w:eastAsia="Times New Roman" w:hAnsi="Times New Roman"/>
          <w:b/>
          <w:bCs/>
          <w:sz w:val="24"/>
          <w:szCs w:val="24"/>
        </w:rPr>
        <w:t xml:space="preserve">1. Evidence Direction Coding</w:t>
      </w:r>
    </w:p>
    <w:p>
      <w:pPr>
        <w:spacing w:after="120" w:before="0" w:line="240"/>
        <w:jc w:val="both"/>
      </w:pPr>
      <w:r>
        <w:rPr>
          <w:rFonts w:ascii="Times New Roman" w:cs="Times New Roman" w:eastAsia="Times New Roman" w:hAnsi="Times New Roman"/>
          <w:sz w:val="24"/>
          <w:szCs w:val="24"/>
        </w:rPr>
        <w:t xml:space="preserve">Each extraction received an evidence quality rating (HIGH / MODERATE-HIGH / MODERATE / LOW-MODERATE / LOW) appended with a direction-of-finding indicator in parentheses. The direction indicator records the valence of the primary finding independently of the quality rating, because a well-designed study showing that a tool increases harm (negative direction) is substantively distinct from a poorly designed study showing the same result, and both are distinct from a well-designed null finding. This structure encodes negative and null findings as full members of the evidence base rather than as absences. Four direction values are used in the coding: positive, mixed, negative, and null.</w:t>
      </w:r>
    </w:p>
    <w:p>
      <w:pPr>
        <w:spacing w:after="100" w:before="180" w:line="240"/>
        <w:jc w:val="left"/>
      </w:pPr>
      <w:r>
        <w:rPr>
          <w:rFonts w:ascii="Times New Roman" w:cs="Times New Roman" w:eastAsia="Times New Roman" w:hAnsi="Times New Roman"/>
          <w:b/>
          <w:bCs/>
          <w:i/>
          <w:iCs/>
          <w:sz w:val="24"/>
          <w:szCs w:val="24"/>
        </w:rPr>
        <w:t xml:space="preserve">1.1 Direction Value Definitions</w:t>
      </w:r>
    </w:p>
    <w:p>
      <w:pPr>
        <w:spacing w:after="60" w:before="180" w:line="240"/>
        <w:jc w:val="left"/>
      </w:pPr>
      <w:r>
        <w:rPr>
          <w:rFonts w:ascii="Times New Roman" w:cs="Times New Roman" w:eastAsia="Times New Roman" w:hAnsi="Times New Roman"/>
          <w:b/>
          <w:bCs/>
          <w:sz w:val="24"/>
          <w:szCs w:val="24"/>
        </w:rPr>
        <w:t xml:space="preserve">Positive</w:t>
      </w:r>
      <w:r>
        <w:rPr>
          <w:rFonts w:ascii="Times New Roman" w:cs="Times New Roman" w:eastAsia="Times New Roman" w:hAnsi="Times New Roman"/>
          <w:i/>
          <w:iCs/>
          <w:sz w:val="22"/>
          <w:szCs w:val="22"/>
        </w:rPr>
        <w:t xml:space="preserve">  (n = 336; 82.0% of records)</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The primary finding supports the tool’s intended effect on the primary outcome or outcomes as specified by the study. This is the modal direction value and applies when the tool produced the effect it was designed to produce, under the conditions of the study.</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Statistically significant reductions in gambling intensity or harm attributable to the tool; improvement on behavioural, psychological, or self-reported outcomes; successful implementation or deployment outcomes (e.g., uptake, compliance); positive acceptability or feasibility findings for tools evaluated on those dimensions.</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Findings positive on one outcome but null or negative on another primary outcome (→ mixed); findings positive only in a subgroup or condition where subgroup-specific effect was the main claim (→ mixed); findings indicating the tool operated but did not change the outcome (→ null); findings indicating harm increased or outcomes worsened (→ negative).</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MODERATE (positive): Personalised behavioural feedback delivered via operator messaging produced significant reductions in gambling expenditure at 30-day follow-up in a large-scale operator deployment.</w:t>
      </w:r>
    </w:p>
    <w:p>
      <w:pPr>
        <w:spacing w:after="60" w:before="180" w:line="240"/>
        <w:jc w:val="left"/>
      </w:pPr>
      <w:r>
        <w:rPr>
          <w:rFonts w:ascii="Times New Roman" w:cs="Times New Roman" w:eastAsia="Times New Roman" w:hAnsi="Times New Roman"/>
          <w:b/>
          <w:bCs/>
          <w:sz w:val="24"/>
          <w:szCs w:val="24"/>
        </w:rPr>
        <w:t xml:space="preserve">Mixed</w:t>
      </w:r>
      <w:r>
        <w:rPr>
          <w:rFonts w:ascii="Times New Roman" w:cs="Times New Roman" w:eastAsia="Times New Roman" w:hAnsi="Times New Roman"/>
          <w:i/>
          <w:iCs/>
          <w:sz w:val="22"/>
          <w:szCs w:val="22"/>
        </w:rPr>
        <w:t xml:space="preserve">  (n = 53; 12.9% of records)</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The primary finding is heterogeneous across outcomes, subgroups, or implementation conditions: the tool produced positive effects on some measures and null or negative effects on others, or produced different effects in different subgroups or conditions. This is the value in which conditionally-positive effects are coded.</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Findings positive on some primary outcomes but null on others; effects concentrated in a subgroup (e.g., high-severity but not low-severity players); effects conditional on implementation architecture (e.g., positive when default-on but null when opt-in); effects observed at one follow-up but not another; dose-dependent effects with positive effects at higher doses only.</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Findings uniformly positive across primary outcomes (→ positive); findings uniformly null (→ null); findings indicating harm (→ negative).</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LOW-MODERATE (mixed): Messages reduced erroneous beliefs at posttest but did not produce differences in actual gambling behaviour; the belief effect was concentrated in lower-severity participants.</w:t>
      </w:r>
    </w:p>
    <w:p>
      <w:pPr>
        <w:spacing w:after="60" w:before="180" w:line="240"/>
        <w:jc w:val="left"/>
      </w:pPr>
      <w:r>
        <w:rPr>
          <w:rFonts w:ascii="Times New Roman" w:cs="Times New Roman" w:eastAsia="Times New Roman" w:hAnsi="Times New Roman"/>
          <w:b/>
          <w:bCs/>
          <w:sz w:val="24"/>
          <w:szCs w:val="24"/>
        </w:rPr>
        <w:t xml:space="preserve">Negative</w:t>
      </w:r>
      <w:r>
        <w:rPr>
          <w:rFonts w:ascii="Times New Roman" w:cs="Times New Roman" w:eastAsia="Times New Roman" w:hAnsi="Times New Roman"/>
          <w:i/>
          <w:iCs/>
          <w:sz w:val="22"/>
          <w:szCs w:val="22"/>
        </w:rPr>
        <w:t xml:space="preserve">  (n = 17; 4.1% of records)</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The finding indicates the tool produced an effect opposite to the intended direction: increased rather than decreased harm indicators, worsened outcomes relative to control, or documented reactance effects. Negative findings are recorded as informative evidence, not as absence of evidence.</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Increased gambling expenditure or session intensity associated with tool use; higher problem-gambling severity in tool-exposed groups; documented reactance or substitution effects; poorer acceptability leading to disengagement; evidence that the tool specifically worsened the primary outcome rather than simply failing to improve it.</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Findings of no detectable effect in either direction (→ null); findings where positive and negative effects co-exist across outcomes (→ mixed); findings where the tool produced acceptability concerns but did not worsen gambling outcomes (code by primary outcome; acceptability concerns can be captured in the Acceptability field without changing direction).</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LOW-MODERATE (negative): Time-limit setting was associated with increased spending and harms at the between-person level; findings persisted after controlling for baseline severity and are consistent with reactance.</w:t>
      </w:r>
    </w:p>
    <w:p>
      <w:pPr>
        <w:spacing w:after="60" w:before="180" w:line="240"/>
        <w:jc w:val="left"/>
      </w:pPr>
      <w:r>
        <w:rPr>
          <w:rFonts w:ascii="Times New Roman" w:cs="Times New Roman" w:eastAsia="Times New Roman" w:hAnsi="Times New Roman"/>
          <w:b/>
          <w:bCs/>
          <w:sz w:val="24"/>
          <w:szCs w:val="24"/>
        </w:rPr>
        <w:t xml:space="preserve">Null</w:t>
      </w:r>
      <w:r>
        <w:rPr>
          <w:rFonts w:ascii="Times New Roman" w:cs="Times New Roman" w:eastAsia="Times New Roman" w:hAnsi="Times New Roman"/>
          <w:i/>
          <w:iCs/>
          <w:sz w:val="22"/>
          <w:szCs w:val="22"/>
        </w:rPr>
        <w:t xml:space="preserve">  (n = 4; 1.0% of records)</w:t>
      </w:r>
    </w:p>
    <w:p>
      <w:pPr>
        <w:spacing w:after="60" w:before="0" w:line="240"/>
        <w:jc w:val="both"/>
      </w:pPr>
      <w:r>
        <w:rPr>
          <w:rFonts w:ascii="Times New Roman" w:cs="Times New Roman" w:eastAsia="Times New Roman" w:hAnsi="Times New Roman"/>
          <w:i/>
          <w:iCs/>
          <w:sz w:val="24"/>
          <w:szCs w:val="24"/>
        </w:rPr>
        <w:t xml:space="preserve">Definition. </w:t>
      </w:r>
      <w:r>
        <w:rPr>
          <w:rFonts w:ascii="Times New Roman" w:cs="Times New Roman" w:eastAsia="Times New Roman" w:hAnsi="Times New Roman"/>
          <w:sz w:val="24"/>
          <w:szCs w:val="24"/>
        </w:rPr>
        <w:t xml:space="preserve">The finding shows no detectable effect on the primary outcome despite methodology capable of detecting one. Null findings are distinct from negative findings (where reverse effects are detected) and from mixed findings (where effects are heterogeneous).</w:t>
      </w:r>
    </w:p>
    <w:p>
      <w:pPr>
        <w:spacing w:after="60" w:before="0" w:line="240"/>
        <w:jc w:val="both"/>
      </w:pPr>
      <w:r>
        <w:rPr>
          <w:rFonts w:ascii="Times New Roman" w:cs="Times New Roman" w:eastAsia="Times New Roman" w:hAnsi="Times New Roman"/>
          <w:i/>
          <w:iCs/>
          <w:sz w:val="24"/>
          <w:szCs w:val="24"/>
        </w:rPr>
        <w:t xml:space="preserve">Inclusion. </w:t>
      </w:r>
      <w:r>
        <w:rPr>
          <w:rFonts w:ascii="Times New Roman" w:cs="Times New Roman" w:eastAsia="Times New Roman" w:hAnsi="Times New Roman"/>
          <w:sz w:val="24"/>
          <w:szCs w:val="24"/>
        </w:rPr>
        <w:t xml:space="preserve">Non-significant effects on primary outcomes in studies with adequate statistical power; absence of treatment-control differences on behavioural measures; non-significant interactions in studies designed to detect them.</w:t>
      </w:r>
    </w:p>
    <w:p>
      <w:pPr>
        <w:spacing w:after="60" w:before="0" w:line="240"/>
        <w:jc w:val="both"/>
      </w:pPr>
      <w:r>
        <w:rPr>
          <w:rFonts w:ascii="Times New Roman" w:cs="Times New Roman" w:eastAsia="Times New Roman" w:hAnsi="Times New Roman"/>
          <w:i/>
          <w:iCs/>
          <w:sz w:val="24"/>
          <w:szCs w:val="24"/>
        </w:rPr>
        <w:t xml:space="preserve">Exclusion. </w:t>
      </w:r>
      <w:r>
        <w:rPr>
          <w:rFonts w:ascii="Times New Roman" w:cs="Times New Roman" w:eastAsia="Times New Roman" w:hAnsi="Times New Roman"/>
          <w:sz w:val="24"/>
          <w:szCs w:val="24"/>
        </w:rPr>
        <w:t xml:space="preserve">Studies too under-powered to detect a realistic effect (no direction code assigned; record may be coded LOW quality without a null finding claim); studies where some primary outcomes showed significant effects (→ mixed); studies showing reverse effects (→ negative).</w:t>
      </w:r>
    </w:p>
    <w:p>
      <w:pPr>
        <w:spacing w:after="60" w:before="0" w:line="240"/>
        <w:jc w:val="both"/>
      </w:pPr>
      <w:r>
        <w:rPr>
          <w:rFonts w:ascii="Times New Roman" w:cs="Times New Roman" w:eastAsia="Times New Roman" w:hAnsi="Times New Roman"/>
          <w:i/>
          <w:iCs/>
          <w:sz w:val="24"/>
          <w:szCs w:val="24"/>
        </w:rPr>
        <w:t xml:space="preserve">Example. </w:t>
      </w:r>
      <w:r>
        <w:rPr>
          <w:rFonts w:ascii="Times New Roman" w:cs="Times New Roman" w:eastAsia="Times New Roman" w:hAnsi="Times New Roman"/>
          <w:sz w:val="24"/>
          <w:szCs w:val="24"/>
        </w:rPr>
        <w:t xml:space="preserve">MODERATE (null): Self-exclusion reinstatement tutorial showed no significant effect on PGSI or gambling frequency versus historical control; group × time interaction F(3,384)=0.5, ns.</w:t>
      </w:r>
    </w:p>
    <w:p>
      <w:pPr>
        <w:spacing w:after="100" w:before="180" w:line="240"/>
        <w:jc w:val="left"/>
      </w:pPr>
      <w:r>
        <w:rPr>
          <w:rFonts w:ascii="Times New Roman" w:cs="Times New Roman" w:eastAsia="Times New Roman" w:hAnsi="Times New Roman"/>
          <w:b/>
          <w:bCs/>
          <w:i/>
          <w:iCs/>
          <w:sz w:val="24"/>
          <w:szCs w:val="24"/>
        </w:rPr>
        <w:t xml:space="preserve">1.2 The Term “Conditional”</w:t>
      </w:r>
    </w:p>
    <w:p>
      <w:pPr>
        <w:spacing w:after="120" w:before="0" w:line="240"/>
        <w:jc w:val="both"/>
      </w:pPr>
      <w:r>
        <w:rPr>
          <w:rFonts w:ascii="Times New Roman" w:cs="Times New Roman" w:eastAsia="Times New Roman" w:hAnsi="Times New Roman"/>
          <w:sz w:val="24"/>
          <w:szCs w:val="24"/>
        </w:rPr>
        <w:t>The term “conditional” or “conditionally positive” was used in earlier drafts of the main manuscript and appears in some working files (for example, the convergent evidence set filter was first written as “positive or conditionally positive”). It is not a fifth direction value in the coding. It is a descriptive qualifier for findings coded as mixed where the heterogeneity takes the form of “positive under specified conditions”. Mapping rule: “conditional” maps to mixed. The convergent evidence set criterion is implemented as “direction ∈ {positive, mixed}”, which is how the main manuscript now states it.</w:t>
      </w:r>
    </w:p>
    <w:p>
      <w:pPr>
        <w:spacing w:after="120" w:before="0" w:line="240"/>
        <w:jc w:val="both"/>
      </w:pPr>
      <w:r>
        <w:rPr>
          <w:rFonts w:ascii="Times New Roman" w:cs="Times New Roman" w:eastAsia="Times New Roman" w:hAnsi="Times New Roman"/>
          <w:sz w:val="24"/>
          <w:szCs w:val="24"/>
        </w:rPr>
        <w:t>Readers interested in the subset of mixed records where the heterogeneity is conditions-specific (rather than subgroup-specific or outcome-specific) can identify these in the record-level data by the Main_Findings and Subgroup_Effects fields.</w:t>
      </w:r>
    </w:p>
    <w:p>
      <w:pPr>
        <w:spacing w:after="100" w:before="180" w:line="240"/>
        <w:jc w:val="left"/>
      </w:pPr>
      <w:r>
        <w:rPr>
          <w:rFonts w:ascii="Times New Roman" w:cs="Times New Roman" w:eastAsia="Times New Roman" w:hAnsi="Times New Roman"/>
          <w:b/>
          <w:bCs/>
          <w:i/>
          <w:iCs/>
          <w:sz w:val="24"/>
          <w:szCs w:val="24"/>
        </w:rPr>
        <w:t xml:space="preserve">1.3 Direction and Quality Are Coded Independently</w:t>
      </w:r>
    </w:p>
    <w:p>
      <w:pPr>
        <w:spacing w:after="120" w:before="0" w:line="240"/>
        <w:jc w:val="both"/>
      </w:pPr>
      <w:r>
        <w:rPr>
          <w:rFonts w:ascii="Times New Roman" w:cs="Times New Roman" w:eastAsia="Times New Roman" w:hAnsi="Times New Roman"/>
          <w:sz w:val="24"/>
          <w:szCs w:val="24"/>
        </w:rPr>
        <w:t xml:space="preserve">The direction indicator is applied to all records at all quality tiers. Of the 14 MODERATE-HIGH records in the dataset, 11 are coded positive, 1 mixed, 1 negative, and 1 null: demonstrating that the highest-quality tier in the review contains findings across all four direction values. This independence is a design feature of the protocol: direction must be coded even at lower quality tiers to distinguish weak positive evidence from weak null or negative evidence, both of which are frequently conflated in narrative reviews.</w:t>
      </w:r>
    </w:p>
    <w:p>
      <w:pPr>
        <w:spacing w:after="120" w:before="0" w:line="240"/>
        <w:jc w:val="both"/>
      </w:pPr>
      <w:r>
        <w:rPr>
          <w:rFonts w:ascii="Times New Roman" w:cs="Times New Roman" w:eastAsia="Times New Roman" w:hAnsi="Times New Roman"/>
          <w:sz w:val="24"/>
          <w:szCs w:val="24"/>
        </w:rPr>
        <w:t xml:space="preserve">No records received the full HIGH rating in the present dataset; the highest tier populated is MODERATE-HIGH. Direction coding is unaffected by this gap because direction values are assigned independently of level. The full level × direction cross-tabulation is reported in 02.5 Evidence Quality and Readiness.</w:t>
      </w:r>
    </w:p>
    <w:p>
      <w:pPr>
        <w:spacing w:after="120" w:before="240" w:line="240"/>
        <w:jc w:val="left"/>
      </w:pPr>
      <w:r>
        <w:rPr>
          <w:rFonts w:ascii="Times New Roman" w:cs="Times New Roman" w:eastAsia="Times New Roman" w:hAnsi="Times New Roman"/>
          <w:b/>
          <w:bCs/>
          <w:sz w:val="24"/>
          <w:szCs w:val="24"/>
        </w:rPr>
        <w:t xml:space="preserve">2. Sample Size Extraction Rules</w:t>
      </w:r>
    </w:p>
    <w:p>
      <w:pPr>
        <w:spacing w:after="120" w:before="0" w:line="240"/>
        <w:jc w:val="both"/>
      </w:pPr>
      <w:r>
        <w:rPr>
          <w:rFonts w:ascii="Times New Roman" w:cs="Times New Roman" w:eastAsia="Times New Roman" w:hAnsi="Times New Roman"/>
          <w:sz w:val="24"/>
          <w:szCs w:val="24"/>
        </w:rPr>
        <w:t xml:space="preserve">The Sample_N field records the participant count for each extraction. Because responsible gambling studies span experimental designs with single-cohort participants, multi-condition experiments with split samples, longitudinal cohort studies, policy audits without participant-level data, and simulation studies with no human participants, a single numeric convention cannot accommodate all record types. The field uses a typed format convention designed to preserve information without forcing false aggregation.</w:t>
      </w:r>
    </w:p>
    <w:p>
      <w:pPr>
        <w:spacing w:after="100" w:before="180" w:line="240"/>
        <w:jc w:val="left"/>
      </w:pPr>
      <w:r>
        <w:rPr>
          <w:rFonts w:ascii="Times New Roman" w:cs="Times New Roman" w:eastAsia="Times New Roman" w:hAnsi="Times New Roman"/>
          <w:b/>
          <w:bCs/>
          <w:i/>
          <w:iCs/>
          <w:sz w:val="24"/>
          <w:szCs w:val="24"/>
        </w:rPr>
        <w:t xml:space="preserve">2.1 Four Sample_N Format Categories</w:t>
      </w:r>
    </w:p>
    <w:p>
      <w:pPr>
        <w:spacing w:after="120" w:before="0" w:line="240"/>
        <w:jc w:val="both"/>
      </w:pPr>
      <w:r>
        <w:rPr>
          <w:rFonts w:ascii="Times New Roman" w:cs="Times New Roman" w:eastAsia="Times New Roman" w:hAnsi="Times New Roman"/>
          <w:b/>
          <w:bCs/>
          <w:sz w:val="24"/>
          <w:szCs w:val="24"/>
        </w:rPr>
        <w:t xml:space="preserve">1. Single numeric N. </w:t>
      </w:r>
      <w:r>
        <w:rPr>
          <w:rFonts w:ascii="Times New Roman" w:cs="Times New Roman" w:eastAsia="Times New Roman" w:hAnsi="Times New Roman"/>
          <w:sz w:val="24"/>
          <w:szCs w:val="24"/>
        </w:rPr>
        <w:t xml:space="preserve">Used when the study has one unambiguous participant count that applies to the primary analysis. The Sample_N field contains a single integer value.</w:t>
      </w:r>
    </w:p>
    <w:p>
      <w:pPr>
        <w:spacing w:after="60" w:before="0" w:line="240"/>
        <w:jc w:val="both"/>
      </w:pPr>
      <w:r>
        <w:rPr>
          <w:rFonts w:ascii="Times New Roman" w:cs="Times New Roman" w:eastAsia="Times New Roman" w:hAnsi="Times New Roman"/>
          <w:i/>
          <w:iCs/>
          <w:sz w:val="24"/>
          <w:szCs w:val="24"/>
        </w:rPr>
        <w:t xml:space="preserve">Example: 363 (a single-session field study with one analytic cohort).</w:t>
      </w:r>
    </w:p>
    <w:p>
      <w:pPr>
        <w:spacing w:after="120" w:before="0" w:line="240"/>
        <w:jc w:val="both"/>
      </w:pPr>
      <w:r>
        <w:rPr>
          <w:rFonts w:ascii="Times New Roman" w:cs="Times New Roman" w:eastAsia="Times New Roman" w:hAnsi="Times New Roman"/>
          <w:b/>
          <w:bCs/>
          <w:sz w:val="24"/>
          <w:szCs w:val="24"/>
        </w:rPr>
        <w:t xml:space="preserve">2. Composite N with breakdown. </w:t>
      </w:r>
      <w:r>
        <w:rPr>
          <w:rFonts w:ascii="Times New Roman" w:cs="Times New Roman" w:eastAsia="Times New Roman" w:hAnsi="Times New Roman"/>
          <w:sz w:val="24"/>
          <w:szCs w:val="24"/>
        </w:rPr>
        <w:t xml:space="preserve">Used when the study reports a total along with meaningful sub-divisions (condition-level, study-level, sub-sample-level) that cannot be discarded without loss of information. The Sample_N field contains a leading total followed by a parenthetical breakdown.</w:t>
      </w:r>
    </w:p>
    <w:p>
      <w:pPr>
        <w:spacing w:after="60" w:before="0" w:line="240"/>
        <w:jc w:val="both"/>
      </w:pPr>
      <w:r>
        <w:rPr>
          <w:rFonts w:ascii="Times New Roman" w:cs="Times New Roman" w:eastAsia="Times New Roman" w:hAnsi="Times New Roman"/>
          <w:i/>
          <w:iCs/>
          <w:sz w:val="24"/>
          <w:szCs w:val="24"/>
        </w:rPr>
        <w:t xml:space="preserve">Example: “84 (Study 1: 46; Study 2: 38)”. Two sub-studies reported together; the leading 84 is the summed total but no single analysis used all 84 participants.</w:t>
      </w:r>
    </w:p>
    <w:p>
      <w:pPr>
        <w:spacing w:after="60" w:before="0" w:line="240"/>
        <w:jc w:val="both"/>
      </w:pPr>
      <w:r>
        <w:rPr>
          <w:rFonts w:ascii="Times New Roman" w:cs="Times New Roman" w:eastAsia="Times New Roman" w:hAnsi="Times New Roman"/>
          <w:i/>
          <w:iCs/>
          <w:sz w:val="24"/>
          <w:szCs w:val="24"/>
        </w:rPr>
        <w:t xml:space="preserve">Example: “120 (60 per condition; final analytic N = 118)”. Randomisation-stage N vs analytic N; the breakdown preserves both.</w:t>
      </w:r>
    </w:p>
    <w:p>
      <w:pPr>
        <w:spacing w:after="120" w:before="0" w:line="240"/>
        <w:jc w:val="both"/>
      </w:pPr>
      <w:r>
        <w:rPr>
          <w:rFonts w:ascii="Times New Roman" w:cs="Times New Roman" w:eastAsia="Times New Roman" w:hAnsi="Times New Roman"/>
          <w:b/>
          <w:bCs/>
          <w:sz w:val="24"/>
          <w:szCs w:val="24"/>
        </w:rPr>
        <w:t xml:space="preserve">3. Multi-study or multi-cohort designs without a single total. </w:t>
      </w:r>
      <w:r>
        <w:rPr>
          <w:rFonts w:ascii="Times New Roman" w:cs="Times New Roman" w:eastAsia="Times New Roman" w:hAnsi="Times New Roman"/>
          <w:sz w:val="24"/>
          <w:szCs w:val="24"/>
        </w:rPr>
        <w:t xml:space="preserve">Used when the study contains multiple distinct sub-studies or cohorts and no single summed total is the meaningful unit of analysis. The Sample_N field contains the sub-totals without a leading aggregate.</w:t>
      </w:r>
    </w:p>
    <w:p>
      <w:pPr>
        <w:spacing w:after="60" w:before="0" w:line="240"/>
        <w:jc w:val="both"/>
      </w:pPr>
      <w:r>
        <w:rPr>
          <w:rFonts w:ascii="Times New Roman" w:cs="Times New Roman" w:eastAsia="Times New Roman" w:hAnsi="Times New Roman"/>
          <w:i/>
          <w:iCs/>
          <w:sz w:val="24"/>
          <w:szCs w:val="24"/>
        </w:rPr>
        <w:t xml:space="preserve">Example: “Exp 1: 506; Exp 2: 1,500; Exp 3: 502”. Three independent experiments; the sum (2,508) is not a participant count because no analysis pooled the three samples.</w:t>
      </w:r>
    </w:p>
    <w:p>
      <w:pPr>
        <w:spacing w:after="120" w:before="0" w:line="240"/>
        <w:jc w:val="both"/>
      </w:pPr>
      <w:r>
        <w:rPr>
          <w:rFonts w:ascii="Times New Roman" w:cs="Times New Roman" w:eastAsia="Times New Roman" w:hAnsi="Times New Roman"/>
          <w:b/>
          <w:bCs/>
          <w:sz w:val="24"/>
          <w:szCs w:val="24"/>
        </w:rPr>
        <w:t xml:space="preserve">4. Not applicable. </w:t>
      </w:r>
      <w:r>
        <w:rPr>
          <w:rFonts w:ascii="Times New Roman" w:cs="Times New Roman" w:eastAsia="Times New Roman" w:hAnsi="Times New Roman"/>
          <w:sz w:val="24"/>
          <w:szCs w:val="24"/>
        </w:rPr>
        <w:t xml:space="preserve">Used when the study has no participant-level N in the conventional sense. Document analyses, policy audits, simulation-only studies, and public-health-campaign evaluations of published material fall in this category. The Sample_N field contains the phrase “Not applicable” with a brief parenthetical reason.</w:t>
      </w:r>
    </w:p>
    <w:p>
      <w:pPr>
        <w:spacing w:after="120" w:before="0" w:line="240"/>
        <w:jc w:val="both"/>
      </w:pPr>
      <w:r>
        <w:rPr>
          <w:rFonts w:ascii="Times New Roman" w:cs="Times New Roman" w:eastAsia="Times New Roman" w:hAnsi="Times New Roman"/>
          <w:i/>
          <w:iCs/>
          <w:sz w:val="24"/>
          <w:szCs w:val="24"/>
        </w:rPr>
        <w:t xml:space="preserve">Example: “Not applicable (document analysis)”; “Not applicable (900 simulated players per condition)” where the simulation count is not a participant count.</w:t>
      </w:r>
    </w:p>
    <w:p>
      <w:pPr>
        <w:spacing w:after="120" w:before="0" w:line="240"/>
        <w:jc w:val="both"/>
      </w:pPr>
      <w:r>
        <w:rPr>
          <w:rFonts w:ascii="Times New Roman" w:cs="Times New Roman" w:eastAsia="Times New Roman" w:hAnsi="Times New Roman"/>
          <w:b/>
          <w:bCs/>
          <w:i/>
          <w:iCs/>
          <w:sz w:val="24"/>
          <w:szCs w:val="24"/>
        </w:rPr>
        <w:t xml:space="preserve">Approximate values. </w:t>
      </w:r>
      <w:r>
        <w:rPr>
          <w:rFonts w:ascii="Times New Roman" w:cs="Times New Roman" w:eastAsia="Times New Roman" w:hAnsi="Times New Roman"/>
          <w:sz w:val="24"/>
          <w:szCs w:val="24"/>
        </w:rPr>
        <w:t xml:space="preserve">When the study reports only an approximate total (e.g., “~200,000 gamblers”), the tilde notation is preserved in Sample_N and the record is treated under Category 3 (no single extractable integer).</w:t>
      </w:r>
    </w:p>
    <w:p>
      <w:pPr>
        <w:spacing w:after="100" w:before="180" w:line="240"/>
        <w:jc w:val="left"/>
      </w:pPr>
      <w:r>
        <w:rPr>
          <w:rFonts w:ascii="Times New Roman" w:cs="Times New Roman" w:eastAsia="Times New Roman" w:hAnsi="Times New Roman"/>
          <w:b/>
          <w:bCs/>
          <w:i/>
          <w:iCs/>
          <w:sz w:val="24"/>
          <w:szCs w:val="24"/>
        </w:rPr>
        <w:t xml:space="preserve">2.2 Rule for Extractable N</w:t>
      </w:r>
    </w:p>
    <w:p>
      <w:pPr>
        <w:spacing w:after="120" w:before="0" w:line="240"/>
        <w:jc w:val="both"/>
      </w:pPr>
      <w:r>
        <w:rPr>
          <w:rFonts w:ascii="Times New Roman" w:cs="Times New Roman" w:eastAsia="Times New Roman" w:hAnsi="Times New Roman"/>
          <w:sz w:val="24"/>
          <w:szCs w:val="24"/>
        </w:rPr>
        <w:t xml:space="preserve">For analyses requiring a participant count per record (e.g., median and IQR summaries, weighted aggregations), a record has an extractable N if and only if Sample_N is a single numeric value (Category 1 above). Records in Categories 2–4 are excluded from such summaries.</w:t>
      </w:r>
    </w:p>
    <w:p>
      <w:pPr>
        <w:spacing w:after="120" w:before="0" w:line="240"/>
        <w:jc w:val="both"/>
      </w:pPr>
      <w:r>
        <w:rPr>
          <w:rFonts w:ascii="Times New Roman" w:cs="Times New Roman" w:eastAsia="Times New Roman" w:hAnsi="Times New Roman"/>
          <w:sz w:val="24"/>
          <w:szCs w:val="24"/>
        </w:rPr>
        <w:t xml:space="preserve">The rationale for this strict rule: in Category 2 (composite), the leading number is a sum that is meaningful for reporting but not necessarily for analysis. The underlying analysis may have used the sub-sample counts, the analytic N after exclusions, or a condition-specific subsample. Treating the leading number as the record’s N introduces an artefactual aggregate that misrepresents the study. The same logic applies to Categories 3 and 4 with greater force.</w:t>
      </w:r>
    </w:p>
    <w:p>
      <w:pPr>
        <w:spacing w:after="120" w:before="0" w:line="240"/>
        <w:jc w:val="both"/>
      </w:pPr>
      <w:r>
        <w:rPr>
          <w:rFonts w:ascii="Times New Roman" w:cs="Times New Roman" w:eastAsia="Times New Roman" w:hAnsi="Times New Roman"/>
          <w:sz w:val="24"/>
          <w:szCs w:val="24"/>
        </w:rPr>
        <w:t xml:space="preserve">This rule yields 148 of 410 records (36.1%) as having an extractable N. A permissive alternative (parsing the leading number from any string-formatted Sample_N with a leading numeric) would yield 375 records (91.5%) but would silently conflate aggregate, condition-level, and analytic Ns. The strict rule is more defensible for cross-record summaries but reduces coverage; the permissive alternative is available to downstream users through the record-level data.</w:t>
      </w:r>
    </w:p>
    <w:p>
      <w:pPr>
        <w:spacing w:after="0" w:before="180" w:line="240"/>
        <w:jc w:val="left"/>
      </w:pPr>
      <w:r>
        <w:rPr>
          <w:rFonts w:ascii="Times New Roman" w:cs="Times New Roman" w:eastAsia="Times New Roman" w:hAnsi="Times New Roman"/>
          <w:b/>
          <w:bCs/>
          <w:sz w:val="24"/>
          <w:szCs w:val="24"/>
        </w:rPr>
        <w:t xml:space="preserve">Table 02.4.1</w:t>
      </w:r>
    </w:p>
    <w:p>
      <w:pPr>
        <w:spacing w:after="120" w:before="0" w:line="240"/>
        <w:jc w:val="left"/>
      </w:pPr>
      <w:r>
        <w:rPr>
          <w:rFonts w:ascii="Times New Roman" w:cs="Times New Roman" w:eastAsia="Times New Roman" w:hAnsi="Times New Roman"/>
          <w:i/>
          <w:iCs/>
          <w:sz w:val="24"/>
          <w:szCs w:val="24"/>
        </w:rPr>
        <w:t xml:space="preserve">Extractable Sample N by Study Category</w:t>
      </w:r>
    </w:p>
    <w:tbl>
      <w:tblPr>
        <w:tblW w:type="dxa" w:w="9400"/>
        <w:tblBorders>
          <w:top w:val="none" w:color="FFFFFF" w:sz="0"/>
          <w:left w:val="none" w:color="FFFFFF" w:sz="0"/>
          <w:bottom w:val="none" w:color="FFFFFF" w:sz="0"/>
          <w:right w:val="none" w:color="FFFFFF" w:sz="0"/>
          <w:insideH w:val="none" w:color="FFFFFF" w:sz="0"/>
          <w:insideV w:val="none" w:color="FFFFFF" w:sz="0"/>
        </w:tblBorders>
      </w:tblPr>
      <w:tblGrid>
        <w:gridCol w:w="2400"/>
        <w:gridCol w:w="1600"/>
        <w:gridCol w:w="1900"/>
        <w:gridCol w:w="1900"/>
        <w:gridCol w:w="1600"/>
      </w:tblGrid>
      <w:tr>
        <w:trPr>
          <w:tblHeader/>
        </w:trPr>
        <w:tc>
          <w:tcPr>
            <w:tcW w:type="dxa" w:w="2400"/>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Study design</w:t>
            </w:r>
          </w:p>
        </w:tc>
        <w:tc>
          <w:tcPr>
            <w:tcW w:type="dxa" w:w="1600"/>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Total records</w:t>
            </w:r>
          </w:p>
        </w:tc>
        <w:tc>
          <w:tcPr>
            <w:tcW w:type="dxa" w:w="1900"/>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Extractable N</w:t>
            </w:r>
          </w:p>
        </w:tc>
        <w:tc>
          <w:tcPr>
            <w:tcW w:type="dxa" w:w="1900"/>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Not extractable</w:t>
            </w:r>
          </w:p>
        </w:tc>
        <w:tc>
          <w:tcPr>
            <w:tcW w:type="dxa" w:w="1600"/>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 extractable</w:t>
            </w:r>
          </w:p>
        </w:tc>
      </w:tr>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w:t>
            </w:r>
          </w:p>
        </w:tc>
        <w:tc>
          <w:tcPr>
            <w:tcW w:type="dxa" w:w="16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174</w:t>
            </w:r>
          </w:p>
        </w:tc>
        <w:tc>
          <w:tcPr>
            <w:tcW w:type="dxa" w:w="1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44</w:t>
            </w:r>
          </w:p>
        </w:tc>
        <w:tc>
          <w:tcPr>
            <w:tcW w:type="dxa" w:w="1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130</w:t>
            </w:r>
          </w:p>
        </w:tc>
        <w:tc>
          <w:tcPr>
            <w:tcW w:type="dxa" w:w="16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25.3%</w:t>
            </w:r>
          </w:p>
        </w:tc>
      </w:tr>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w:t>
            </w:r>
          </w:p>
        </w:tc>
        <w:tc>
          <w:tcPr>
            <w:tcW w:type="dxa" w:w="16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172</w:t>
            </w:r>
          </w:p>
        </w:tc>
        <w:tc>
          <w:tcPr>
            <w:tcW w:type="dxa" w:w="1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85</w:t>
            </w:r>
          </w:p>
        </w:tc>
        <w:tc>
          <w:tcPr>
            <w:tcW w:type="dxa" w:w="1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87</w:t>
            </w:r>
          </w:p>
        </w:tc>
        <w:tc>
          <w:tcPr>
            <w:tcW w:type="dxa" w:w="16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49.4%</w:t>
            </w:r>
          </w:p>
        </w:tc>
      </w:tr>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QUAL</w:t>
            </w:r>
          </w:p>
        </w:tc>
        <w:tc>
          <w:tcPr>
            <w:tcW w:type="dxa" w:w="16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32</w:t>
            </w:r>
          </w:p>
        </w:tc>
        <w:tc>
          <w:tcPr>
            <w:tcW w:type="dxa" w:w="1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15</w:t>
            </w:r>
          </w:p>
        </w:tc>
        <w:tc>
          <w:tcPr>
            <w:tcW w:type="dxa" w:w="1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17</w:t>
            </w:r>
          </w:p>
        </w:tc>
        <w:tc>
          <w:tcPr>
            <w:tcW w:type="dxa" w:w="16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46.9%</w:t>
            </w:r>
          </w:p>
        </w:tc>
      </w:tr>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POL</w:t>
            </w:r>
          </w:p>
        </w:tc>
        <w:tc>
          <w:tcPr>
            <w:tcW w:type="dxa" w:w="16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32</w:t>
            </w:r>
          </w:p>
        </w:tc>
        <w:tc>
          <w:tcPr>
            <w:tcW w:type="dxa" w:w="1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4</w:t>
            </w:r>
          </w:p>
        </w:tc>
        <w:tc>
          <w:tcPr>
            <w:tcW w:type="dxa" w:w="19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28</w:t>
            </w:r>
          </w:p>
        </w:tc>
        <w:tc>
          <w:tcPr>
            <w:tcW w:type="dxa" w:w="16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12.5%</w:t>
            </w:r>
          </w:p>
        </w:tc>
      </w:tr>
      <w:tr>
        <w:tc>
          <w:tcPr>
            <w:tcW w:type="dxa" w:w="2400"/>
            <w:tcBorders>
              <w:top w:val="none" w:color="FFFFFF" w:sz="0"/>
              <w:left w:val="none" w:color="FFFFFF" w:sz="0"/>
              <w:bottom w:val="single" w:color="000000" w:sz="8"/>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sz w:val="20"/>
                <w:szCs w:val="20"/>
              </w:rPr>
              <w:t xml:space="preserve">Total</w:t>
            </w:r>
          </w:p>
        </w:tc>
        <w:tc>
          <w:tcPr>
            <w:tcW w:type="dxa" w:w="1600"/>
            <w:tcBorders>
              <w:top w:val="none" w:color="FFFFFF" w:sz="0"/>
              <w:left w:val="none" w:color="FFFFFF" w:sz="0"/>
              <w:bottom w:val="single" w:color="000000" w:sz="8"/>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sz w:val="20"/>
                <w:szCs w:val="20"/>
              </w:rPr>
              <w:t xml:space="preserve">410</w:t>
            </w:r>
          </w:p>
        </w:tc>
        <w:tc>
          <w:tcPr>
            <w:tcW w:type="dxa" w:w="1900"/>
            <w:tcBorders>
              <w:top w:val="none" w:color="FFFFFF" w:sz="0"/>
              <w:left w:val="none" w:color="FFFFFF" w:sz="0"/>
              <w:bottom w:val="single" w:color="000000" w:sz="8"/>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sz w:val="20"/>
                <w:szCs w:val="20"/>
              </w:rPr>
              <w:t xml:space="preserve">148</w:t>
            </w:r>
          </w:p>
        </w:tc>
        <w:tc>
          <w:tcPr>
            <w:tcW w:type="dxa" w:w="1900"/>
            <w:tcBorders>
              <w:top w:val="none" w:color="FFFFFF" w:sz="0"/>
              <w:left w:val="none" w:color="FFFFFF" w:sz="0"/>
              <w:bottom w:val="single" w:color="000000" w:sz="8"/>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sz w:val="20"/>
                <w:szCs w:val="20"/>
              </w:rPr>
              <w:t xml:space="preserve">262</w:t>
            </w:r>
          </w:p>
        </w:tc>
        <w:tc>
          <w:tcPr>
            <w:tcW w:type="dxa" w:w="1600"/>
            <w:tcBorders>
              <w:top w:val="none" w:color="FFFFFF" w:sz="0"/>
              <w:left w:val="none" w:color="FFFFFF" w:sz="0"/>
              <w:bottom w:val="single" w:color="000000" w:sz="8"/>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sz w:val="20"/>
                <w:szCs w:val="20"/>
              </w:rPr>
              <w:t xml:space="preserve">36.1%</w:t>
            </w:r>
          </w:p>
        </w:tc>
      </w:tr>
    </w:tbl>
    <w:p>
      <w:pPr>
        <w:spacing w:after="240" w:before="6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Extractable-N records are those with Sample_N coded as a single numeric value (Category 1). EXP records have the lowest extractable-N rate among well-represented designs because experimental designs commonly report sample sizes as condition-level splits (e.g., “60 per condition; final analytic N = 118”) which fall under Category 2. OBS and QUAL show comparable extractable-N rates (49.4% and 46.9% respectively); OBS records that are extractable typically come from operator-database studies reporting a single cohort N, while QUAL records that are not extractable typically have sub-sample composition in the parenthetical (e.g., “61 (RG experts: 22; treatment providers: 19; recovered gamblers: 20)”). POL has the lowest extractable-N rate (12.5%) because most policy audits report counts in non-participant units (e.g., sites, operators, venues) or have no participant-level N at all (Category 4); the four extractable POL records are experimental studies of policy-relevant content (e.g., harm-framing messages, demo-mode payout regulation) rather than policy audits.</w:t>
      </w:r>
    </w:p>
    <w:p>
      <w:pPr>
        <w:spacing w:after="100" w:before="180" w:line="240"/>
        <w:jc w:val="left"/>
      </w:pPr>
      <w:r>
        <w:rPr>
          <w:rFonts w:ascii="Times New Roman" w:cs="Times New Roman" w:eastAsia="Times New Roman" w:hAnsi="Times New Roman"/>
          <w:b/>
          <w:bCs/>
          <w:i/>
          <w:iCs/>
          <w:sz w:val="24"/>
          <w:szCs w:val="24"/>
        </w:rPr>
        <w:t xml:space="preserve">2.3 Handling Multi-Sample Aggregate Statistics</w:t>
      </w:r>
    </w:p>
    <w:p>
      <w:pPr>
        <w:spacing w:after="120" w:before="0" w:line="240"/>
        <w:jc w:val="both"/>
      </w:pPr>
      <w:r>
        <w:rPr>
          <w:rFonts w:ascii="Times New Roman" w:cs="Times New Roman" w:eastAsia="Times New Roman" w:hAnsi="Times New Roman"/>
          <w:sz w:val="24"/>
          <w:szCs w:val="24"/>
        </w:rPr>
        <w:t xml:space="preserve">For analyses that require a per-design summary of sample sizes (available per record in the taxonomy dataset, Appendix 03.1), the records with extractable N are used. Composite-N records are excluded even when a leading number is reported, for the reason given above. Aggregate summaries therefore describe the distribution of clean single-N records rather than an imputed total across all records. This choice prioritises methodological defensibility over coverage.</w:t>
      </w:r>
    </w:p>
    <w:p>
      <w:pPr>
        <w:spacing w:after="120" w:before="0" w:line="240"/>
        <w:jc w:val="both"/>
      </w:pPr>
      <w:r>
        <w:rPr>
          <w:rFonts w:ascii="Times New Roman" w:cs="Times New Roman" w:eastAsia="Times New Roman" w:hAnsi="Times New Roman"/>
          <w:sz w:val="24"/>
          <w:szCs w:val="24"/>
        </w:rPr>
        <w:t xml:space="preserve">A downstream analyst wanting a permissive N value for all records where a leading number is present can parse the leading integer from the Sample_N string using the convention documented above. The resulting aggregate would yield different central tendency and dispersion statistics than the strict subset summary and should be clearly labelled as such to prevent comparison errors.</w:t>
      </w:r>
    </w:p>
    <w:p>
      <w:pPr>
        <w:spacing w:after="120" w:before="240" w:line="240"/>
        <w:jc w:val="left"/>
      </w:pPr>
      <w:r>
        <w:rPr>
          <w:rFonts w:ascii="Times New Roman" w:cs="Times New Roman" w:eastAsia="Times New Roman" w:hAnsi="Times New Roman"/>
          <w:b/>
          <w:bCs/>
          <w:sz w:val="24"/>
          <w:szCs w:val="24"/>
        </w:rPr>
        <w:t xml:space="preserve">3. Universal-Tool Sample Severity Counting Rule</w:t>
      </w:r>
    </w:p>
    <w:p>
      <w:pPr>
        <w:spacing w:after="120" w:before="0" w:line="240"/>
        <w:jc w:val="both"/>
      </w:pPr>
      <w:r>
        <w:rPr>
          <w:rFonts w:ascii="Times New Roman" w:cs="Times New Roman" w:eastAsia="Times New Roman" w:hAnsi="Times New Roman"/>
          <w:sz w:val="24"/>
          <w:szCs w:val="24"/>
        </w:rPr>
        <w:t xml:space="preserve">This section was added in September 2026 (version 2 of this document) in response to peer review of the main manuscript. It documents the rule used to establish, for the 54 tool records whose Tool_Target_Tier is ALL (universal tools), whether the evaluated sample included moderate-risk gamblers. The counts reported in the manuscript’s Stage 1 Results (six strict, five permissive, 24 indeterminate, 19 not measured) were computed from the Data sheet of 03.1 Taxonomy Dataset using the rule below and are reproduced in Table 02.4.2; no new extraction was performed.</w:t>
      </w:r>
    </w:p>
    <w:p>
      <w:pPr>
        <w:spacing w:after="100" w:before="180" w:line="240"/>
        <w:jc w:val="left"/>
      </w:pPr>
      <w:r>
        <w:rPr>
          <w:rFonts w:ascii="Times New Roman" w:cs="Times New Roman" w:eastAsia="Times New Roman" w:hAnsi="Times New Roman"/>
          <w:b/>
          <w:bCs/>
          <w:i/>
          <w:iCs/>
          <w:sz w:val="24"/>
          <w:szCs w:val="24"/>
        </w:rPr>
        <w:t xml:space="preserve">3.1 Denominator</w:t>
      </w:r>
    </w:p>
    <w:p>
      <w:pPr>
        <w:spacing w:after="120" w:before="0" w:line="240"/>
        <w:jc w:val="both"/>
      </w:pPr>
      <w:r>
        <w:rPr>
          <w:rFonts w:ascii="Times New Roman" w:cs="Times New Roman" w:eastAsia="Times New Roman" w:hAnsi="Times New Roman"/>
          <w:sz w:val="24"/>
          <w:szCs w:val="24"/>
        </w:rPr>
        <w:t xml:space="preserve">The denominator is the 54 records whose tool_target_tier value begins with ALL. Each value carries a parenthetical basis for the universal classification: messaging tool (n = 25), educational tool (n = 16), general population (n = 6), structural feature (n = 5), mandatory break (n = 1), and platform program (n = 1). The 30 records coded N/A (no human participant sample) are excluded from the denominator, as are the 157 HIGH, 90 MOD, and 79 LOW records.</w:t>
      </w:r>
    </w:p>
    <w:p>
      <w:pPr>
        <w:spacing w:after="100" w:before="180" w:line="240"/>
        <w:jc w:val="left"/>
      </w:pPr>
      <w:r>
        <w:rPr>
          <w:rFonts w:ascii="Times New Roman" w:cs="Times New Roman" w:eastAsia="Times New Roman" w:hAnsi="Times New Roman"/>
          <w:b/>
          <w:bCs/>
          <w:i/>
          <w:iCs/>
          <w:sz w:val="24"/>
          <w:szCs w:val="24"/>
        </w:rPr>
        <w:t xml:space="preserve">3.2 Classification Groups and Coding Values</w:t>
      </w:r>
    </w:p>
    <w:p>
      <w:pPr>
        <w:spacing w:after="120" w:before="0" w:line="240"/>
        <w:jc w:val="both"/>
      </w:pPr>
      <w:r>
        <w:rPr>
          <w:rFonts w:ascii="Times New Roman" w:cs="Times New Roman" w:eastAsia="Times New Roman" w:hAnsi="Times New Roman"/>
          <w:sz w:val="24"/>
          <w:szCs w:val="24"/>
        </w:rPr>
        <w:t xml:space="preserve">The sample_severity field is free text, so each of the 54 records was assigned to exactly one of four groups by explicit rule, applied in the order listed. A record is placed in the first group whose criterion it meets.</w:t>
      </w:r>
    </w:p>
    <w:p>
      <w:pPr>
        <w:spacing w:after="120" w:before="0" w:line="240"/>
        <w:jc w:val="both"/>
      </w:pPr>
      <w:r>
        <w:rPr>
          <w:rFonts w:ascii="Times New Roman" w:cs="Times New Roman" w:eastAsia="Times New Roman" w:hAnsi="Times New Roman"/>
          <w:b/>
          <w:bCs/>
          <w:sz w:val="24"/>
          <w:szCs w:val="24"/>
        </w:rPr>
        <w:t xml:space="preserve">1. Strict (coding value STRICT; n = 6; 11.1%). </w:t>
      </w:r>
      <w:r>
        <w:rPr>
          <w:rFonts w:ascii="Times New Roman" w:cs="Times New Roman" w:eastAsia="Times New Roman" w:hAnsi="Times New Roman"/>
          <w:sz w:val="24"/>
          <w:szCs w:val="24"/>
        </w:rPr>
        <w:t xml:space="preserve">The sample_severity text names a moderate-risk band with a nonzero share, or restricts the sample to that band by an inclusion criterion. Example: “PGSI 3–7 required for inclusion” (the PGSI moderate-risk band); “PGSI: 17.9% moderate-high risk”.</w:t>
      </w:r>
    </w:p>
    <w:p>
      <w:pPr>
        <w:spacing w:after="120" w:before="0" w:line="240"/>
        <w:jc w:val="both"/>
      </w:pPr>
      <w:r>
        <w:rPr>
          <w:rFonts w:ascii="Times New Roman" w:cs="Times New Roman" w:eastAsia="Times New Roman" w:hAnsi="Times New Roman"/>
          <w:b/>
          <w:bCs/>
          <w:sz w:val="24"/>
          <w:szCs w:val="24"/>
        </w:rPr>
        <w:t xml:space="preserve">2. Permissive (coding value PERMISSIVE; n = 5; 9.3%). </w:t>
      </w:r>
      <w:r>
        <w:rPr>
          <w:rFonts w:ascii="Times New Roman" w:cs="Times New Roman" w:eastAsia="Times New Roman" w:hAnsi="Times New Roman"/>
          <w:sz w:val="24"/>
          <w:szCs w:val="24"/>
        </w:rPr>
        <w:t xml:space="preserve">An instrument-based at-risk share is reported, or an at-risk threshold is applied at inclusion, without a named moderate band. Example: “SOGS; 69% no risk, 30% possible risk, 1% probable pathological”; “SGHS ≥1 required for inclusion”; “BPGS: all participants endorsed ≥2/5 items”.</w:t>
      </w:r>
    </w:p>
    <w:p>
      <w:pPr>
        <w:spacing w:after="120" w:before="0" w:line="240"/>
        <w:jc w:val="both"/>
      </w:pPr>
      <w:r>
        <w:rPr>
          <w:rFonts w:ascii="Times New Roman" w:cs="Times New Roman" w:eastAsia="Times New Roman" w:hAnsi="Times New Roman"/>
          <w:b/>
          <w:bCs/>
          <w:sz w:val="24"/>
          <w:szCs w:val="24"/>
        </w:rPr>
        <w:t xml:space="preserve">3. Indeterminate (coding value INDETERMINATE; n = 24; 44.4%). </w:t>
      </w:r>
      <w:r>
        <w:rPr>
          <w:rFonts w:ascii="Times New Roman" w:cs="Times New Roman" w:eastAsia="Times New Roman" w:hAnsi="Times New Roman"/>
          <w:sz w:val="24"/>
          <w:szCs w:val="24"/>
        </w:rPr>
        <w:t xml:space="preserve">A severity instrument was administered, or a band-inclusive inclusion threshold was applied, but no distribution across bands is reported, so the presence of moderate-risk gamblers can be neither confirmed nor ruled out. Example: “PGSI administered; M not reported”; “PGSI &lt;8 required for inclusion”; “PlayScan 3% high-risk, 97% lower risk” (lower risk not decomposed).</w:t>
      </w:r>
    </w:p>
    <w:p>
      <w:pPr>
        <w:spacing w:after="120" w:before="0" w:line="240"/>
        <w:jc w:val="both"/>
      </w:pPr>
      <w:r>
        <w:rPr>
          <w:rFonts w:ascii="Times New Roman" w:cs="Times New Roman" w:eastAsia="Times New Roman" w:hAnsi="Times New Roman"/>
          <w:b/>
          <w:bCs/>
          <w:sz w:val="24"/>
          <w:szCs w:val="24"/>
        </w:rPr>
        <w:t xml:space="preserve">4. Not measured (coding value NOT_MEASURED; n = 19; 35.2%). </w:t>
      </w:r>
      <w:r>
        <w:rPr>
          <w:rFonts w:ascii="Times New Roman" w:cs="Times New Roman" w:eastAsia="Times New Roman" w:hAnsi="Times New Roman"/>
          <w:sz w:val="24"/>
          <w:szCs w:val="24"/>
        </w:rPr>
        <w:t xml:space="preserve">Severity was not measured, not reported, or proxied by a behavioural criterion without an instrument. Example: “Not measured”; “Net loss past month required; no clinical measure”.</w:t>
      </w:r>
    </w:p>
    <w:p>
      <w:pPr>
        <w:spacing w:after="120" w:before="0" w:line="240"/>
        <w:jc w:val="both"/>
      </w:pPr>
      <w:r>
        <w:rPr>
          <w:rFonts w:ascii="Times New Roman" w:cs="Times New Roman" w:eastAsia="Times New Roman" w:hAnsi="Times New Roman"/>
          <w:sz w:val="24"/>
          <w:szCs w:val="24"/>
        </w:rPr>
        <w:t xml:space="preserve">Totals check: 6 + 5 + 24 + 19 = 54. Reading: the presence of moderate-risk gamblers in the evaluated sample is confirmed for six universal-tool records and for 11 on the permissive reading (groups 1 and 2 combined, 20.4%); it cannot be ruled out for a further 24; and for 43 of 54 records (groups 3 and 4) severity composition is not reported at the level the question requires.</w:t>
      </w:r>
    </w:p>
    <w:p>
      <w:pPr>
        <w:spacing w:after="100" w:before="180" w:line="240"/>
        <w:jc w:val="left"/>
      </w:pPr>
      <w:r>
        <w:rPr>
          <w:rFonts w:ascii="Times New Roman" w:cs="Times New Roman" w:eastAsia="Times New Roman" w:hAnsi="Times New Roman"/>
          <w:b/>
          <w:bCs/>
          <w:i/>
          <w:iCs/>
          <w:sz w:val="24"/>
          <w:szCs w:val="24"/>
        </w:rPr>
        <w:t xml:space="preserve">3.3 Per-Record Assignments</w:t>
      </w:r>
    </w:p>
    <w:p>
      <w:pPr>
        <w:spacing w:after="120" w:before="0" w:line="240"/>
        <w:jc w:val="both"/>
      </w:pPr>
      <w:r>
        <w:rPr>
          <w:rFonts w:ascii="Times New Roman" w:cs="Times New Roman" w:eastAsia="Times New Roman" w:hAnsi="Times New Roman"/>
          <w:sz w:val="24"/>
          <w:szCs w:val="24"/>
        </w:rPr>
        <w:t xml:space="preserve">Table 02.4.2 lists every record in the denominator with its sample_severity text as deposited in 03.1 and its assigned group. Where a paper contributes several records, each record is classified separately.</w:t>
      </w:r>
    </w:p>
    <w:p>
      <w:pPr>
        <w:spacing w:after="0" w:before="180" w:line="240"/>
        <w:jc w:val="left"/>
      </w:pPr>
      <w:r>
        <w:rPr>
          <w:rFonts w:ascii="Times New Roman" w:cs="Times New Roman" w:eastAsia="Times New Roman" w:hAnsi="Times New Roman"/>
          <w:b/>
          <w:bCs/>
          <w:sz w:val="24"/>
          <w:szCs w:val="24"/>
        </w:rPr>
        <w:t xml:space="preserve">Table 02.4.2</w:t>
      </w:r>
    </w:p>
    <w:p>
      <w:pPr>
        <w:spacing w:after="120" w:before="0" w:line="240"/>
        <w:jc w:val="left"/>
      </w:pPr>
      <w:r>
        <w:rPr>
          <w:rFonts w:ascii="Times New Roman" w:cs="Times New Roman" w:eastAsia="Times New Roman" w:hAnsi="Times New Roman"/>
          <w:i/>
          <w:iCs/>
          <w:sz w:val="24"/>
          <w:szCs w:val="24"/>
        </w:rPr>
        <w:t xml:space="preserve">Universal-Tool Records (Tool_Target_Tier = ALL) by Sample Severity Group</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150"/>
        <w:gridCol w:w="1750"/>
        <w:gridCol w:w="2238"/>
        <w:gridCol w:w="1500"/>
      </w:tblGrid>
      <w:tr>
        <w:trPr>
          <w:tblHeader/>
        </w:trPr>
        <w:tc>
          <w:tcPr>
            <w:tcW w:type="dxa" w:w="4150"/>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Record (study_id)</w:t>
            </w:r>
          </w:p>
        </w:tc>
        <w:tc>
          <w:tcPr>
            <w:tcW w:type="dxa" w:w="1750"/>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Tool code</w:t>
            </w:r>
          </w:p>
        </w:tc>
        <w:tc>
          <w:tcPr>
            <w:tcW w:type="dxa" w:w="2238"/>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sample_severity (as deposited in 03.1)</w:t>
            </w:r>
          </w:p>
        </w:tc>
        <w:tc>
          <w:tcPr>
            <w:tcW w:type="dxa" w:w="1500"/>
            <w:tcBorders>
              <w:top w:val="single" w:color="000000" w:sz="8"/>
              <w:left w:val="none" w:color="FFFFFF" w:sz="0"/>
              <w:bottom w:val="single" w:color="000000" w:sz="4"/>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4"/>
                <w:szCs w:val="24"/>
              </w:rPr>
              <w:t xml:space="preserve">Group</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EXP_2019_Hollingshead_FEED-BEHAV</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FEED-PERSONAL + MSG-POP</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3–7 required for inclusion; M not reported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STRICT</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EXP_2019_Hollingshead_MSG-REM</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MSG-POP</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3–7 required for inclusion; M not reported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STRICT</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EXP_2019_Hollingshead_STRUCT-PAUSE</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BREAK-FORCE</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3–7 required for inclusion; M not reported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STRICT</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POL_2024_Myles_EDU-INFO_DESIGN</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EDU-INFO</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17.9% moderate-high risk</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STRICT</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POL_2024_Myles_EDU-INFO_INDUSTRY</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EDU-INFO</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17.9% moderate-high risk</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STRICT</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POL_2024_Myles_EDU-INFO_NEURO</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EDU-INFO</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17.9% moderate-high risk</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STRICT</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EXP_2017_Broussard_EDU-INFO</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EDU-INFO</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SOGS; 69% no risk, 30% possible risk, 1% probable pathological</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PERMISSIVE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EXP_2017_Broussard_STRUCT-DISPLAY</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STRUCT-DISPLAY</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SOGS; 69% no risk, 30% possible risk, 1% probable pathological</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PERMISSIVE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EXP_2020_Armstrong_EDU-INTERACT_TRIAN</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EDU-INTERACT</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SGHS ≥1 required for inclusion; M not reported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PERMISSIVE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OBS_2019_Strohaker_SELF-REG</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SELF-REG</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Lie/Bet: 47% no indicators, 30% chasing only, 8% lying only, 15% both</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PERMISSIVE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QUAL_2021_McCarthy_MSG-STATIC</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MSG-STATIC</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BPGS: all participants endorsed ≥2/5 items</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PERMISSIVE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EXP_2005_Blaszczynski_STRUCT-PAY</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STRUCT-PAY</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SOGS lifetime version administered; M not reported (used for classification only)</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EXP_2005_Blaszczynski_STRUCT-SPEED</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STRUCT-TEMPO</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SOGS lifetime version administered; M not reported (used for classification only)</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EXP_2005_Blaszczynski_STRUCT-STAKE</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STRUCT-STAKE</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SOGS lifetime version administered; M not reported (used for classification only)</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EXP_2012_Jardin_MSG-POP</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MSG-POP</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SOGS administered; M not reported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EXP_2015_Rockloff_MSG-POP</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MSG-POP</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administered; M not reported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EXP_2019_Lavoie_MSG-POP</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FEED-PERSONAL + MSG-POP</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administered; M not reported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EXP_2019_Lavoie_MSG-STATIC</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MSG-STATIC</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administered; M not reported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EXP_2020_Armstrong_EDU-INTERACT_PRIME</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EDU-INTERACT</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administered; M not reported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EXP_2020_Brown_EDU-VIDEO_AdV</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EDU-VIDEO</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administered; M not reported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EXP_2020_Brown_EDU-VIDEO_CONTACT</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EDU-VIDEO</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administered; M not reported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EXP_2020_Brown_EDU-VIDEO_ED</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EDU-VIDEO</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administered; M not reported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EXP_2022_Newall_MSG-STATIC_BW</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MSG-STATIC</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administered; M not reported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EXP_2022_Newall_MSG-STATIC_YELLOW</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MSG-STATIC</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administered; M not reported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EXP_2023_Kiyak_MSG-POP_COG</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MSG-POP</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&lt;8 required for inclusion; cognitive condition M=2.20 (SD=2.39)</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EXP_2023_Kiyak_MSG-POP_DIA</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MSG-POP</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&lt;8 required for inclusion; cognitive condition M=2.20 (SD=2.39)</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EXP_2023_Kiyak_MSG-POP_INFO</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MSG-POP</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&lt;8 required for inclusion; cognitive condition M=2.20 (SD=2.39)</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EXP_2024_Tabri_EDU-INTERACT</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EDU-INTERACT + FEED-NORM</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BBGS administered; M not reported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OBS_2015_Gainsbury_MSG-POP_Middle</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MSG-NOTIFY</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administered; distribution not reported in paper</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OBS_2015_Gainsbury_MSG-POP_Peripheral</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MSG-NOTIFY</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administered; distribution not reported in paper</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OBS_2015_Gainsbury_MSG-POP_SA</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MSG-NOTIFY</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administered; M not reported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OBS_2018_Auer_MSG-NOTIFY</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MSG-POP + MSG-PUSH</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PlayScan 3% high-risk, 97% lower risk</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OBS_2018_Chu_STRUCT-SPEED</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STRUCT-OTHER</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administered; M not reported; high-risk excluded from pilot sample</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OBS_2019_Rodda_SELF-REG</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SELF-REG</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administered; M not reported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OBS_2020_Delfabbro_SELF-REG-PPS</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ASSESS-SELF</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PGSI administered; M not reported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INDETERMINATE</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EXP_2016_Auer_EDUC-RESOURCE</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EDU-INFO</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Net loss past month required; no clinical measure</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NOT_MEASURED</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EXP_2016_Auer_FEED-NORM</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FEED-NORM</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Net loss past month required; no clinical measure</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NOT_MEASURED</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EXP_2016_Auer_FEED-PERSONAL</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FEED-PERSONAL</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Net loss past month required; no clinical measure</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NOT_MEASURED</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EXP_2016_Harris_MSG-POP</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MSG-POP</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 measured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NOT_MEASURED</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EXP_2019_Hollingshead_EDU-VIDEO</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EDU-VIDEO</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 reported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NOT_MEASURED</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EXP_2024_Hopfgartner_STRUCT-SPEED</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BREAK-FORCE</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 measured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NOT_MEASURED</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OBS_2014_Auer_MSG-POP</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MSG-POP</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 measured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NOT_MEASURED</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OBS_2015_Auer_FEED-PERSONAL</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FEED-PERSONAL + FEED-NORM</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 measured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NOT_MEASURED</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OBS_2015_Auer_MSG-POP_Enhanced</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MSG-POP</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 measured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NOT_MEASURED</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OBS_2015_Auer_MSG-POP_Simple</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MSG-POP</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 measured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NOT_MEASURED</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OBS_2018_Turner_EDU-INTERACT</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EDU-INTERACT</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 measured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NOT_MEASURED</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OBS_2019_Auer_BREAK-FORCE</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BREAK-FORCE</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 measured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NOT_MEASURED</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OBS_2023_Auer_FEED-PERSONAL</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FEED-PERSONAL</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 measured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NOT_MEASURED</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OBS_2023_Louderback_PROGRAM</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PROGRAM</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 measured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NOT_MEASURED</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OBS_2024_Auer_MSG-NOTIFY_LW</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MSG-PUSH</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 measured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NOT_MEASURED</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OBS_2024_Auer_MSG-NOTIFY_WS</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MSG-PUSH</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 measured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NOT_MEASURED</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OBS_2024_Connolly_SELF-REG</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ASSESS-SELF</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 measured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NOT_MEASURED</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QUAL_2018_Gainsbury_MSG-POP</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MSG-POP</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 measured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NOT_MEASURED</w:t>
            </w:r>
          </w:p>
        </w:tc>
      </w:tr>
      <w:tr>
        <w:tc>
          <w:tcPr>
            <w:tcW w:type="dxa" w:w="41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QUAL_2022_Marko_MSG-STATIC</w:t>
            </w:r>
          </w:p>
        </w:tc>
        <w:tc>
          <w:tcPr>
            <w:tcW w:type="dxa" w:w="175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MSG-STATIC</w:t>
            </w:r>
          </w:p>
        </w:tc>
        <w:tc>
          <w:tcPr>
            <w:tcW w:type="dxa" w:w="2238"/>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 measured</w:t>
            </w:r>
          </w:p>
        </w:tc>
        <w:tc>
          <w:tcPr>
            <w:tcW w:type="dxa" w:w="1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NOT_MEASURED</w:t>
            </w:r>
          </w:p>
        </w:tc>
      </w:tr>
    </w:tbl>
    <w:p>
      <w:pPr>
        <w:spacing w:after="240" w:before="6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Group counts: STRICT 6, PERMISSIVE 5, INDETERMINATE 24, NOT_MEASURED 19 (total 54). Groups are assigned by the rule in Section 3.2 from the sample_severity field exactly as deposited; the text is quoted verbatim so that each assignment can be checked or challenged rule by rule.</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Times New Roman" w:cs="Times New Roman" w:eastAsia="Times New Roman" w:hAnsi="Times New Roman"/>
        <w:i/>
        <w:iCs/>
        <w:sz w:val="20"/>
        <w:szCs w:val="20"/>
      </w:rPr>
      <w:t xml:space="preserve">Translating Evidence into Design: A Safe Bet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Harriet Galvin</dc:creator>
  <cp:lastModifiedBy>Harriet Galvin</cp:lastModifiedBy>
  <cp:revision>1</cp:revision>
  <dcterms:created xsi:type="dcterms:W3CDTF">2026-05-01T12:22:20.108Z</dcterms:created>
  <dcterms:modified xsi:type="dcterms:W3CDTF">2026-09-28T09:18:18Z</dcterms:modified>
</cp:coreProperties>
</file>

<file path=docProps/custom.xml><?xml version="1.0" encoding="utf-8"?>
<Properties xmlns="http://schemas.openxmlformats.org/officeDocument/2006/custom-properties" xmlns:vt="http://schemas.openxmlformats.org/officeDocument/2006/docPropsVTypes"/>
</file>