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Congressional Stock Analysis — Summary Report</w:t>
      </w:r>
    </w:p>
    <w:p>
      <w:pPr>
        <w:jc w:val="center"/>
      </w:pPr>
      <w:r>
        <w:t>Generated: March 09, 2026</w:t>
      </w:r>
    </w:p>
    <w:p>
      <w:pPr>
        <w:jc w:val="center"/>
      </w:pPr>
      <w:r>
        <w:t>Dataset: 15,117 modelled purchases  |  Train: 12,092  |  Test: 3,025</w:t>
      </w:r>
    </w:p>
    <w:p>
      <w:pPr>
        <w:jc w:val="center"/>
      </w:pPr>
      <w:r>
        <w:t>Model: XGBoost classifier  |  Target: realized_car_hybrid &gt; 0</w:t>
      </w:r>
    </w:p>
    <w:p/>
    <w:p>
      <w:r>
        <w:rPr>
          <w:sz w:val="20"/>
        </w:rPr>
        <w:t>This report summarises the end-to-end Congressional Stock Analysis pipeline. It examines whether U.S. Congress members' equity purchases systematically outperform the market, identifies which features predict outperformance, and evaluates an XGBoost classifier trained to flag the most promising trades. The analysis covers five sections: (1) a descriptive overview of all trades, (2) exploratory analysis of features relative to the return target, (3) model performance metrics and a dollar-value simulation, (4) analysis of predicted-positive tickers, and (5) error analysis to understand model failure modes.</w:t>
      </w:r>
    </w:p>
    <w:p>
      <w:r>
        <w:br w:type="page"/>
      </w:r>
    </w:p>
    <w:p>
      <w:pPr>
        <w:pStyle w:val="Heading1"/>
        <w:jc w:val="left"/>
      </w:pPr>
      <w:r>
        <w:t>1. Trade Overview</w:t>
      </w:r>
    </w:p>
    <w:p>
      <w:r>
        <w:rPr>
          <w:sz w:val="20"/>
        </w:rPr>
        <w:t>This section summarises the full dataset of congressional stock transactions, focusing on purchase activity across parties and chambers. The core performance metric is realized_car_hybrid — the cumulative abnormal return (CAR) calculated either from the actual buy-to-sell period when the position was closed within 12 months, or from the 12-month fixed window otherwise. A positive value means the politician's stock outperformed the market benchmark over that horizon.</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Total records (all transaction types)</w:t>
            </w:r>
          </w:p>
        </w:tc>
        <w:tc>
          <w:tcPr>
            <w:tcW w:type="dxa" w:w="4320"/>
          </w:tcPr>
          <w:p>
            <w:r>
              <w:rPr>
                <w:sz w:val="18"/>
              </w:rPr>
              <w:t>39,334</w:t>
            </w:r>
          </w:p>
        </w:tc>
      </w:tr>
      <w:tr>
        <w:tc>
          <w:tcPr>
            <w:tcW w:type="dxa" w:w="4320"/>
          </w:tcPr>
          <w:p>
            <w:r>
              <w:rPr>
                <w:sz w:val="18"/>
              </w:rPr>
              <w:t>Purchases</w:t>
            </w:r>
          </w:p>
        </w:tc>
        <w:tc>
          <w:tcPr>
            <w:tcW w:type="dxa" w:w="4320"/>
          </w:tcPr>
          <w:p>
            <w:r>
              <w:rPr>
                <w:sz w:val="18"/>
              </w:rPr>
              <w:t>19,096</w:t>
            </w:r>
          </w:p>
        </w:tc>
      </w:tr>
      <w:tr>
        <w:tc>
          <w:tcPr>
            <w:tcW w:type="dxa" w:w="4320"/>
          </w:tcPr>
          <w:p>
            <w:r>
              <w:rPr>
                <w:sz w:val="18"/>
              </w:rPr>
              <w:t>Date range (traded)</w:t>
            </w:r>
          </w:p>
        </w:tc>
        <w:tc>
          <w:tcPr>
            <w:tcW w:type="dxa" w:w="4320"/>
          </w:tcPr>
          <w:p>
            <w:r>
              <w:rPr>
                <w:sz w:val="18"/>
              </w:rPr>
              <w:t>2012-09-13 – 2026-01-30</w:t>
            </w:r>
          </w:p>
        </w:tc>
      </w:tr>
      <w:tr>
        <w:tc>
          <w:tcPr>
            <w:tcW w:type="dxa" w:w="4320"/>
          </w:tcPr>
          <w:p>
            <w:r>
              <w:rPr>
                <w:sz w:val="18"/>
              </w:rPr>
              <w:t>% Positive realized_car_hybrid</w:t>
            </w:r>
          </w:p>
        </w:tc>
        <w:tc>
          <w:tcPr>
            <w:tcW w:type="dxa" w:w="4320"/>
          </w:tcPr>
          <w:p>
            <w:r>
              <w:rPr>
                <w:sz w:val="18"/>
              </w:rPr>
              <w:t>48.5%</w:t>
            </w:r>
          </w:p>
        </w:tc>
      </w:tr>
      <w:tr>
        <w:tc>
          <w:tcPr>
            <w:tcW w:type="dxa" w:w="4320"/>
          </w:tcPr>
          <w:p>
            <w:r>
              <w:rPr>
                <w:sz w:val="18"/>
              </w:rPr>
              <w:t>Mean realized_car_hybrid</w:t>
            </w:r>
          </w:p>
        </w:tc>
        <w:tc>
          <w:tcPr>
            <w:tcW w:type="dxa" w:w="4320"/>
          </w:tcPr>
          <w:p>
            <w:r>
              <w:rPr>
                <w:sz w:val="18"/>
              </w:rPr>
              <w:t>-0.0259</w:t>
            </w:r>
          </w:p>
        </w:tc>
      </w:tr>
      <w:tr>
        <w:tc>
          <w:tcPr>
            <w:tcW w:type="dxa" w:w="4320"/>
          </w:tcPr>
          <w:p>
            <w:r>
              <w:rPr>
                <w:sz w:val="18"/>
              </w:rPr>
              <w:t>Median realized_car_hybrid</w:t>
            </w:r>
          </w:p>
        </w:tc>
        <w:tc>
          <w:tcPr>
            <w:tcW w:type="dxa" w:w="4320"/>
          </w:tcPr>
          <w:p>
            <w:r>
              <w:rPr>
                <w:sz w:val="18"/>
              </w:rPr>
              <w:t>-0.0052</w:t>
            </w:r>
          </w:p>
        </w:tc>
      </w:tr>
      <w:tr>
        <w:tc>
          <w:tcPr>
            <w:tcW w:type="dxa" w:w="4320"/>
          </w:tcPr>
          <w:p>
            <w:r>
              <w:rPr>
                <w:sz w:val="18"/>
              </w:rPr>
              <w:t>Std dev realized_car_hybrid</w:t>
            </w:r>
          </w:p>
        </w:tc>
        <w:tc>
          <w:tcPr>
            <w:tcW w:type="dxa" w:w="4320"/>
          </w:tcPr>
          <w:p>
            <w:r>
              <w:rPr>
                <w:sz w:val="18"/>
              </w:rPr>
              <w:t>0.2945</w:t>
            </w:r>
          </w:p>
        </w:tc>
      </w:tr>
    </w:tbl>
    <w:p>
      <w:r>
        <w:rPr>
          <w:i/>
          <w:sz w:val="20"/>
        </w:rPr>
        <w:t>Key finding: the mean realized CAR across all modelled purchases is -0.0259 (-2.6%), with only 48.5% of trades beating the market. The median is -0.0052, also below zero. This confirms that the average congressional stock purchase does not reliably outperform the benchmark — making the model's task of identifying the positive tail non-trivial.</w:t>
      </w:r>
    </w:p>
    <w:p/>
    <w:p>
      <w:pPr>
        <w:pStyle w:val="Heading2"/>
        <w:jc w:val="left"/>
      </w:pPr>
      <w:r>
        <w:t>CAR Distributions Across Holding Horizons</w:t>
      </w:r>
    </w:p>
    <w:p>
      <w:r>
        <w:rPr>
          <w:sz w:val="20"/>
        </w:rPr>
        <w:t>The charts below show the distribution of cumulative abnormal returns (CAR) for each measurement window. The grey vertical line marks zero (market parity); the bold coloured line marks the mean for that distribution. Note that the mean sits below zero across all horizons — indicating that in aggregate, congressional purchases do not outperform. The right tail (large positive returns) is heavier than the left, suggesting occasional outsized winners drag the average upward, but the median remains negative.</w:t>
      </w:r>
    </w:p>
    <w:p/>
    <w:p>
      <w:r>
        <w:drawing>
          <wp:inline xmlns:a="http://schemas.openxmlformats.org/drawingml/2006/main" xmlns:pic="http://schemas.openxmlformats.org/drawingml/2006/picture">
            <wp:extent cx="5943600" cy="317884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178843"/>
                    </a:xfrm>
                    <a:prstGeom prst="rect"/>
                  </pic:spPr>
                </pic:pic>
              </a:graphicData>
            </a:graphic>
          </wp:inline>
        </w:drawing>
      </w:r>
    </w:p>
    <w:p>
      <w:pPr>
        <w:pStyle w:val="Heading2"/>
        <w:jc w:val="left"/>
      </w:pPr>
      <w:r>
        <w:t>% Positive CAR by Party and Chamber</w:t>
      </w:r>
    </w:p>
    <w:p>
      <w:r>
        <w:rPr>
          <w:sz w:val="20"/>
        </w:rPr>
        <w:t>The table below breaks down trade performance by party affiliation and chamber. Differences between groups reveal whether structural factors (majority party, access to classified information in Senate committees, etc.) correlate with better market timing, independent of stock selection skill.</w:t>
      </w:r>
    </w:p>
    <w:p/>
    <w:p>
      <w:r>
        <w:t>By Party: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Party</w:t>
            </w:r>
          </w:p>
        </w:tc>
        <w:tc>
          <w:tcPr>
            <w:tcW w:type="dxa" w:w="1728"/>
          </w:tcPr>
          <w:p>
            <w:r>
              <w:rPr>
                <w:b/>
                <w:sz w:val="18"/>
              </w:rPr>
              <w:t>N</w:t>
            </w:r>
          </w:p>
        </w:tc>
        <w:tc>
          <w:tcPr>
            <w:tcW w:type="dxa" w:w="1728"/>
          </w:tcPr>
          <w:p>
            <w:r>
              <w:rPr>
                <w:b/>
                <w:sz w:val="18"/>
              </w:rPr>
              <w:t>% Positive</w:t>
            </w:r>
          </w:p>
        </w:tc>
        <w:tc>
          <w:tcPr>
            <w:tcW w:type="dxa" w:w="1728"/>
          </w:tcPr>
          <w:p>
            <w:r>
              <w:rPr>
                <w:b/>
                <w:sz w:val="18"/>
              </w:rPr>
              <w:t>Mean CAR</w:t>
            </w:r>
          </w:p>
        </w:tc>
        <w:tc>
          <w:tcPr>
            <w:tcW w:type="dxa" w:w="1728"/>
          </w:tcPr>
          <w:p>
            <w:r>
              <w:rPr>
                <w:b/>
                <w:sz w:val="18"/>
              </w:rPr>
              <w:t>Median CAR</w:t>
            </w:r>
          </w:p>
        </w:tc>
      </w:tr>
      <w:tr>
        <w:tc>
          <w:tcPr>
            <w:tcW w:type="dxa" w:w="1728"/>
          </w:tcPr>
          <w:p>
            <w:r>
              <w:rPr>
                <w:sz w:val="18"/>
              </w:rPr>
              <w:t>D</w:t>
            </w:r>
          </w:p>
        </w:tc>
        <w:tc>
          <w:tcPr>
            <w:tcW w:type="dxa" w:w="1728"/>
          </w:tcPr>
          <w:p>
            <w:r>
              <w:rPr>
                <w:sz w:val="18"/>
              </w:rPr>
              <w:t>7688</w:t>
            </w:r>
          </w:p>
        </w:tc>
        <w:tc>
          <w:tcPr>
            <w:tcW w:type="dxa" w:w="1728"/>
          </w:tcPr>
          <w:p>
            <w:r>
              <w:rPr>
                <w:sz w:val="18"/>
              </w:rPr>
              <w:t>48.2%</w:t>
            </w:r>
          </w:p>
        </w:tc>
        <w:tc>
          <w:tcPr>
            <w:tcW w:type="dxa" w:w="1728"/>
          </w:tcPr>
          <w:p>
            <w:r>
              <w:rPr>
                <w:sz w:val="18"/>
              </w:rPr>
              <w:t>-0.0265</w:t>
            </w:r>
          </w:p>
        </w:tc>
        <w:tc>
          <w:tcPr>
            <w:tcW w:type="dxa" w:w="1728"/>
          </w:tcPr>
          <w:p>
            <w:r>
              <w:rPr>
                <w:sz w:val="18"/>
              </w:rPr>
              <w:t>-0.0069</w:t>
            </w:r>
          </w:p>
        </w:tc>
      </w:tr>
      <w:tr>
        <w:tc>
          <w:tcPr>
            <w:tcW w:type="dxa" w:w="1728"/>
          </w:tcPr>
          <w:p>
            <w:r>
              <w:rPr>
                <w:sz w:val="18"/>
              </w:rPr>
              <w:t>I</w:t>
            </w:r>
          </w:p>
        </w:tc>
        <w:tc>
          <w:tcPr>
            <w:tcW w:type="dxa" w:w="1728"/>
          </w:tcPr>
          <w:p>
            <w:r>
              <w:rPr>
                <w:sz w:val="18"/>
              </w:rPr>
              <w:t>28</w:t>
            </w:r>
          </w:p>
        </w:tc>
        <w:tc>
          <w:tcPr>
            <w:tcW w:type="dxa" w:w="1728"/>
          </w:tcPr>
          <w:p>
            <w:r>
              <w:rPr>
                <w:sz w:val="18"/>
              </w:rPr>
              <w:t>60.7%</w:t>
            </w:r>
          </w:p>
        </w:tc>
        <w:tc>
          <w:tcPr>
            <w:tcW w:type="dxa" w:w="1728"/>
          </w:tcPr>
          <w:p>
            <w:r>
              <w:rPr>
                <w:sz w:val="18"/>
              </w:rPr>
              <w:t>+0.0455</w:t>
            </w:r>
          </w:p>
        </w:tc>
        <w:tc>
          <w:tcPr>
            <w:tcW w:type="dxa" w:w="1728"/>
          </w:tcPr>
          <w:p>
            <w:r>
              <w:rPr>
                <w:sz w:val="18"/>
              </w:rPr>
              <w:t>+0.0450</w:t>
            </w:r>
          </w:p>
        </w:tc>
      </w:tr>
      <w:tr>
        <w:tc>
          <w:tcPr>
            <w:tcW w:type="dxa" w:w="1728"/>
          </w:tcPr>
          <w:p>
            <w:r>
              <w:rPr>
                <w:sz w:val="18"/>
              </w:rPr>
              <w:t>R</w:t>
            </w:r>
          </w:p>
        </w:tc>
        <w:tc>
          <w:tcPr>
            <w:tcW w:type="dxa" w:w="1728"/>
          </w:tcPr>
          <w:p>
            <w:r>
              <w:rPr>
                <w:sz w:val="18"/>
              </w:rPr>
              <w:t>7401</w:t>
            </w:r>
          </w:p>
        </w:tc>
        <w:tc>
          <w:tcPr>
            <w:tcW w:type="dxa" w:w="1728"/>
          </w:tcPr>
          <w:p>
            <w:r>
              <w:rPr>
                <w:sz w:val="18"/>
              </w:rPr>
              <w:t>48.7%</w:t>
            </w:r>
          </w:p>
        </w:tc>
        <w:tc>
          <w:tcPr>
            <w:tcW w:type="dxa" w:w="1728"/>
          </w:tcPr>
          <w:p>
            <w:r>
              <w:rPr>
                <w:sz w:val="18"/>
              </w:rPr>
              <w:t>-0.0254</w:t>
            </w:r>
          </w:p>
        </w:tc>
        <w:tc>
          <w:tcPr>
            <w:tcW w:type="dxa" w:w="1728"/>
          </w:tcPr>
          <w:p>
            <w:r>
              <w:rPr>
                <w:sz w:val="18"/>
              </w:rPr>
              <w:t>-0.0038</w:t>
            </w:r>
          </w:p>
        </w:tc>
      </w:tr>
    </w:tbl>
    <w:p/>
    <w:p>
      <w:r>
        <w:t>By Chamber: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Chamber</w:t>
            </w:r>
          </w:p>
        </w:tc>
        <w:tc>
          <w:tcPr>
            <w:tcW w:type="dxa" w:w="1728"/>
          </w:tcPr>
          <w:p>
            <w:r>
              <w:rPr>
                <w:b/>
                <w:sz w:val="18"/>
              </w:rPr>
              <w:t>N</w:t>
            </w:r>
          </w:p>
        </w:tc>
        <w:tc>
          <w:tcPr>
            <w:tcW w:type="dxa" w:w="1728"/>
          </w:tcPr>
          <w:p>
            <w:r>
              <w:rPr>
                <w:b/>
                <w:sz w:val="18"/>
              </w:rPr>
              <w:t>% Positive</w:t>
            </w:r>
          </w:p>
        </w:tc>
        <w:tc>
          <w:tcPr>
            <w:tcW w:type="dxa" w:w="1728"/>
          </w:tcPr>
          <w:p>
            <w:r>
              <w:rPr>
                <w:b/>
                <w:sz w:val="18"/>
              </w:rPr>
              <w:t>Mean CAR</w:t>
            </w:r>
          </w:p>
        </w:tc>
        <w:tc>
          <w:tcPr>
            <w:tcW w:type="dxa" w:w="1728"/>
          </w:tcPr>
          <w:p>
            <w:r>
              <w:rPr>
                <w:b/>
                <w:sz w:val="18"/>
              </w:rPr>
              <w:t>Median CAR</w:t>
            </w:r>
          </w:p>
        </w:tc>
      </w:tr>
      <w:tr>
        <w:tc>
          <w:tcPr>
            <w:tcW w:type="dxa" w:w="1728"/>
          </w:tcPr>
          <w:p>
            <w:r>
              <w:rPr>
                <w:sz w:val="18"/>
              </w:rPr>
              <w:t>Representatives</w:t>
            </w:r>
          </w:p>
        </w:tc>
        <w:tc>
          <w:tcPr>
            <w:tcW w:type="dxa" w:w="1728"/>
          </w:tcPr>
          <w:p>
            <w:r>
              <w:rPr>
                <w:sz w:val="18"/>
              </w:rPr>
              <w:t>11616</w:t>
            </w:r>
          </w:p>
        </w:tc>
        <w:tc>
          <w:tcPr>
            <w:tcW w:type="dxa" w:w="1728"/>
          </w:tcPr>
          <w:p>
            <w:r>
              <w:rPr>
                <w:sz w:val="18"/>
              </w:rPr>
              <w:t>47.8%</w:t>
            </w:r>
          </w:p>
        </w:tc>
        <w:tc>
          <w:tcPr>
            <w:tcW w:type="dxa" w:w="1728"/>
          </w:tcPr>
          <w:p>
            <w:r>
              <w:rPr>
                <w:sz w:val="18"/>
              </w:rPr>
              <w:t>-0.0306</w:t>
            </w:r>
          </w:p>
        </w:tc>
        <w:tc>
          <w:tcPr>
            <w:tcW w:type="dxa" w:w="1728"/>
          </w:tcPr>
          <w:p>
            <w:r>
              <w:rPr>
                <w:sz w:val="18"/>
              </w:rPr>
              <w:t>-0.0076</w:t>
            </w:r>
          </w:p>
        </w:tc>
      </w:tr>
      <w:tr>
        <w:tc>
          <w:tcPr>
            <w:tcW w:type="dxa" w:w="1728"/>
          </w:tcPr>
          <w:p>
            <w:r>
              <w:rPr>
                <w:sz w:val="18"/>
              </w:rPr>
              <w:t>Senate</w:t>
            </w:r>
          </w:p>
        </w:tc>
        <w:tc>
          <w:tcPr>
            <w:tcW w:type="dxa" w:w="1728"/>
          </w:tcPr>
          <w:p>
            <w:r>
              <w:rPr>
                <w:sz w:val="18"/>
              </w:rPr>
              <w:t>3501</w:t>
            </w:r>
          </w:p>
        </w:tc>
        <w:tc>
          <w:tcPr>
            <w:tcW w:type="dxa" w:w="1728"/>
          </w:tcPr>
          <w:p>
            <w:r>
              <w:rPr>
                <w:sz w:val="18"/>
              </w:rPr>
              <w:t>50.9%</w:t>
            </w:r>
          </w:p>
        </w:tc>
        <w:tc>
          <w:tcPr>
            <w:tcW w:type="dxa" w:w="1728"/>
          </w:tcPr>
          <w:p>
            <w:r>
              <w:rPr>
                <w:sz w:val="18"/>
              </w:rPr>
              <w:t>-0.0101</w:t>
            </w:r>
          </w:p>
        </w:tc>
        <w:tc>
          <w:tcPr>
            <w:tcW w:type="dxa" w:w="1728"/>
          </w:tcPr>
          <w:p>
            <w:r>
              <w:rPr>
                <w:sz w:val="18"/>
              </w:rPr>
              <w:t>+0.0030</w:t>
            </w:r>
          </w:p>
        </w:tc>
      </w:tr>
    </w:tbl>
    <w:p/>
    <w:p>
      <w:pPr>
        <w:pStyle w:val="Heading2"/>
        <w:jc w:val="left"/>
      </w:pPr>
      <w:r>
        <w:t>Trade Volume &amp; % Positive CAR Over Time</w:t>
      </w:r>
    </w:p>
    <w:p>
      <w:r>
        <w:rPr>
          <w:sz w:val="20"/>
        </w:rPr>
        <w:t>The chart below tracks quarterly purchase volume (bars, left axis) and the fraction of those purchases that ended up with a positive realized CAR (line, right axis). Spikes in the positive-rate line around major market events (e.g. post-COVID recovery 2020–2021) suggest that congressional timing may be partly driven by macro conditions rather than stock-specific insight. Periods of low positive rate often coincide with broad market drawdowns.</w:t>
      </w:r>
    </w:p>
    <w:p/>
    <w:p>
      <w:r>
        <w:drawing>
          <wp:inline xmlns:a="http://schemas.openxmlformats.org/drawingml/2006/main" xmlns:pic="http://schemas.openxmlformats.org/drawingml/2006/picture">
            <wp:extent cx="5943600" cy="179602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796028"/>
                    </a:xfrm>
                    <a:prstGeom prst="rect"/>
                  </pic:spPr>
                </pic:pic>
              </a:graphicData>
            </a:graphic>
          </wp:inline>
        </w:drawing>
      </w:r>
    </w:p>
    <w:p>
      <w:r>
        <w:br w:type="page"/>
      </w:r>
    </w:p>
    <w:p>
      <w:pPr>
        <w:pStyle w:val="Heading1"/>
        <w:jc w:val="left"/>
      </w:pPr>
      <w:r>
        <w:t>2. Exploratory Data Analysis — Features vs Target</w:t>
      </w:r>
    </w:p>
    <w:p>
      <w:r>
        <w:rPr>
          <w:sz w:val="20"/>
        </w:rPr>
        <w:t>This section investigates which measurable factors correlate with positive realized CAR. The goal is to build intuition about what drives outperformance before examining the model's learned behaviour in Section 3. We look at four categories: (A) politician skill signals, (B) committee membership and lobbying activity, (C) stock-level characteristics, and (D) numerical feature correlations with the target.</w:t>
      </w:r>
    </w:p>
    <w:p/>
    <w:p>
      <w:pPr>
        <w:pStyle w:val="Heading2"/>
        <w:jc w:val="left"/>
      </w:pPr>
      <w:r>
        <w:t>2a. Politician Skill Signals</w:t>
      </w:r>
    </w:p>
    <w:p>
      <w:r>
        <w:rPr>
          <w:sz w:val="20"/>
        </w:rPr>
        <w:t>The two most direct measures of politician trading skill are: (1) politician_hit_rate_past — the fraction of that politician's prior purchases that achieved a positive CAR, and (2) politician_mean_car_past — the average CAR on their prior purchases. Both are computed with a look-ahead gap: a past trade's outcome is only counted once the filing date + 12 months has elapsed, preventing data leakage. The charts below split trades into quintiles of each signal and show how mean CAR and the % positive rate change across quintiles.</w:t>
      </w:r>
    </w:p>
    <w:p/>
    <w:p>
      <w:r>
        <w:drawing>
          <wp:inline xmlns:a="http://schemas.openxmlformats.org/drawingml/2006/main" xmlns:pic="http://schemas.openxmlformats.org/drawingml/2006/picture">
            <wp:extent cx="5943600" cy="197637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1976374"/>
                    </a:xfrm>
                    <a:prstGeom prst="rect"/>
                  </pic:spPr>
                </pic:pic>
              </a:graphicData>
            </a:graphic>
          </wp:inline>
        </w:drawing>
      </w:r>
    </w:p>
    <w:p>
      <w:r>
        <w:rPr>
          <w:i/>
          <w:sz w:val="20"/>
        </w:rPr>
        <w:t>Interpretation: if the quintile charts show a monotonically increasing pattern (both mean CAR and % positive rising from Q1 to Q5), that confirms the skill signal has predictive value. A flat or noisy pattern suggests the signal may be weak or overshadowed by market conditions during training.</w:t>
      </w:r>
    </w:p>
    <w:p/>
    <w:p>
      <w:pPr>
        <w:pStyle w:val="Heading2"/>
        <w:jc w:val="left"/>
      </w:pPr>
      <w:r>
        <w:t>2b. Committee Membership and Lobbying Activity</w:t>
      </w:r>
    </w:p>
    <w:p>
      <w:r>
        <w:rPr>
          <w:sz w:val="20"/>
        </w:rPr>
        <w:t>Congress members on committees overseeing specific industries may have informational advantages when trading in those sectors. The chart below shows the positive CAR rate for trades made by politicians on each of the nine committee category groups, split by whether the flag is 1 (on committee) or 0 (not on committee). The is_committee_chair and is_committee_majority flags capture additional seniority and political-majority effects. lobbied_any_90d indicates whether the traded company filed a lobbying disclosure in the 90 days prior to the trade — a sign of active Washington engagement that tends to correlate with higher institutional visibility.</w:t>
      </w:r>
    </w:p>
    <w:p/>
    <w:p>
      <w:r>
        <w:drawing>
          <wp:inline xmlns:a="http://schemas.openxmlformats.org/drawingml/2006/main" xmlns:pic="http://schemas.openxmlformats.org/drawingml/2006/picture">
            <wp:extent cx="5943600" cy="228214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282142"/>
                    </a:xfrm>
                    <a:prstGeom prst="rect"/>
                  </pic:spPr>
                </pic:pic>
              </a:graphicData>
            </a:graphic>
          </wp:inline>
        </w:drawing>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Flag</w:t>
            </w:r>
          </w:p>
        </w:tc>
        <w:tc>
          <w:tcPr>
            <w:tcW w:type="dxa" w:w="1234"/>
          </w:tcPr>
          <w:p>
            <w:r>
              <w:rPr>
                <w:b/>
                <w:sz w:val="18"/>
              </w:rPr>
              <w:t>%Pos (Flag=1)</w:t>
            </w:r>
          </w:p>
        </w:tc>
        <w:tc>
          <w:tcPr>
            <w:tcW w:type="dxa" w:w="1234"/>
          </w:tcPr>
          <w:p>
            <w:r>
              <w:rPr>
                <w:b/>
                <w:sz w:val="18"/>
              </w:rPr>
              <w:t>%Pos (Flag=0)</w:t>
            </w:r>
          </w:p>
        </w:tc>
        <w:tc>
          <w:tcPr>
            <w:tcW w:type="dxa" w:w="1234"/>
          </w:tcPr>
          <w:p>
            <w:r>
              <w:rPr>
                <w:b/>
                <w:sz w:val="18"/>
              </w:rPr>
              <w:t>Mean CAR (1)</w:t>
            </w:r>
          </w:p>
        </w:tc>
        <w:tc>
          <w:tcPr>
            <w:tcW w:type="dxa" w:w="1234"/>
          </w:tcPr>
          <w:p>
            <w:r>
              <w:rPr>
                <w:b/>
                <w:sz w:val="18"/>
              </w:rPr>
              <w:t>Mean CAR (0)</w:t>
            </w:r>
          </w:p>
        </w:tc>
        <w:tc>
          <w:tcPr>
            <w:tcW w:type="dxa" w:w="1234"/>
          </w:tcPr>
          <w:p>
            <w:r>
              <w:rPr>
                <w:b/>
                <w:sz w:val="18"/>
              </w:rPr>
              <w:t>N (Flag=1)</w:t>
            </w:r>
          </w:p>
        </w:tc>
        <w:tc>
          <w:tcPr>
            <w:tcW w:type="dxa" w:w="1234"/>
          </w:tcPr>
          <w:p>
            <w:r>
              <w:rPr>
                <w:b/>
                <w:sz w:val="18"/>
              </w:rPr>
              <w:t>Lift (%Pos)</w:t>
            </w:r>
          </w:p>
        </w:tc>
      </w:tr>
      <w:tr>
        <w:tc>
          <w:tcPr>
            <w:tcW w:type="dxa" w:w="1234"/>
          </w:tcPr>
          <w:p>
            <w:r>
              <w:rPr>
                <w:sz w:val="18"/>
              </w:rPr>
              <w:t>Defense Security</w:t>
            </w:r>
          </w:p>
        </w:tc>
        <w:tc>
          <w:tcPr>
            <w:tcW w:type="dxa" w:w="1234"/>
          </w:tcPr>
          <w:p>
            <w:r>
              <w:rPr>
                <w:sz w:val="18"/>
              </w:rPr>
              <w:t>48.9%</w:t>
            </w:r>
          </w:p>
        </w:tc>
        <w:tc>
          <w:tcPr>
            <w:tcW w:type="dxa" w:w="1234"/>
          </w:tcPr>
          <w:p>
            <w:r>
              <w:rPr>
                <w:sz w:val="18"/>
              </w:rPr>
              <w:t>48.4%</w:t>
            </w:r>
          </w:p>
        </w:tc>
        <w:tc>
          <w:tcPr>
            <w:tcW w:type="dxa" w:w="1234"/>
          </w:tcPr>
          <w:p>
            <w:r>
              <w:rPr>
                <w:sz w:val="18"/>
              </w:rPr>
              <w:t>-0.0216</w:t>
            </w:r>
          </w:p>
        </w:tc>
        <w:tc>
          <w:tcPr>
            <w:tcW w:type="dxa" w:w="1234"/>
          </w:tcPr>
          <w:p>
            <w:r>
              <w:rPr>
                <w:sz w:val="18"/>
              </w:rPr>
              <w:t>-0.0271</w:t>
            </w:r>
          </w:p>
        </w:tc>
        <w:tc>
          <w:tcPr>
            <w:tcW w:type="dxa" w:w="1234"/>
          </w:tcPr>
          <w:p>
            <w:r>
              <w:rPr>
                <w:sz w:val="18"/>
              </w:rPr>
              <w:t>3490</w:t>
            </w:r>
          </w:p>
        </w:tc>
        <w:tc>
          <w:tcPr>
            <w:tcW w:type="dxa" w:w="1234"/>
          </w:tcPr>
          <w:p>
            <w:r>
              <w:rPr>
                <w:sz w:val="18"/>
              </w:rPr>
              <w:t>+0.6pp</w:t>
            </w:r>
          </w:p>
        </w:tc>
      </w:tr>
      <w:tr>
        <w:tc>
          <w:tcPr>
            <w:tcW w:type="dxa" w:w="1234"/>
          </w:tcPr>
          <w:p>
            <w:r>
              <w:rPr>
                <w:sz w:val="18"/>
              </w:rPr>
              <w:t>Finance Housing</w:t>
            </w:r>
          </w:p>
        </w:tc>
        <w:tc>
          <w:tcPr>
            <w:tcW w:type="dxa" w:w="1234"/>
          </w:tcPr>
          <w:p>
            <w:r>
              <w:rPr>
                <w:sz w:val="18"/>
              </w:rPr>
              <w:t>47.1%</w:t>
            </w:r>
          </w:p>
        </w:tc>
        <w:tc>
          <w:tcPr>
            <w:tcW w:type="dxa" w:w="1234"/>
          </w:tcPr>
          <w:p>
            <w:r>
              <w:rPr>
                <w:sz w:val="18"/>
              </w:rPr>
              <w:t>48.8%</w:t>
            </w:r>
          </w:p>
        </w:tc>
        <w:tc>
          <w:tcPr>
            <w:tcW w:type="dxa" w:w="1234"/>
          </w:tcPr>
          <w:p>
            <w:r>
              <w:rPr>
                <w:sz w:val="18"/>
              </w:rPr>
              <w:t>-0.0297</w:t>
            </w:r>
          </w:p>
        </w:tc>
        <w:tc>
          <w:tcPr>
            <w:tcW w:type="dxa" w:w="1234"/>
          </w:tcPr>
          <w:p>
            <w:r>
              <w:rPr>
                <w:sz w:val="18"/>
              </w:rPr>
              <w:t>-0.0251</w:t>
            </w:r>
          </w:p>
        </w:tc>
        <w:tc>
          <w:tcPr>
            <w:tcW w:type="dxa" w:w="1234"/>
          </w:tcPr>
          <w:p>
            <w:r>
              <w:rPr>
                <w:sz w:val="18"/>
              </w:rPr>
              <w:t>2636</w:t>
            </w:r>
          </w:p>
        </w:tc>
        <w:tc>
          <w:tcPr>
            <w:tcW w:type="dxa" w:w="1234"/>
          </w:tcPr>
          <w:p>
            <w:r>
              <w:rPr>
                <w:sz w:val="18"/>
              </w:rPr>
              <w:t>-1.7pp</w:t>
            </w:r>
          </w:p>
        </w:tc>
      </w:tr>
      <w:tr>
        <w:tc>
          <w:tcPr>
            <w:tcW w:type="dxa" w:w="1234"/>
          </w:tcPr>
          <w:p>
            <w:r>
              <w:rPr>
                <w:sz w:val="18"/>
              </w:rPr>
              <w:t>Fiscal Policy</w:t>
            </w:r>
          </w:p>
        </w:tc>
        <w:tc>
          <w:tcPr>
            <w:tcW w:type="dxa" w:w="1234"/>
          </w:tcPr>
          <w:p>
            <w:r>
              <w:rPr>
                <w:sz w:val="18"/>
              </w:rPr>
              <w:t>50.8%</w:t>
            </w:r>
          </w:p>
        </w:tc>
        <w:tc>
          <w:tcPr>
            <w:tcW w:type="dxa" w:w="1234"/>
          </w:tcPr>
          <w:p>
            <w:r>
              <w:rPr>
                <w:sz w:val="18"/>
              </w:rPr>
              <w:t>48.1%</w:t>
            </w:r>
          </w:p>
        </w:tc>
        <w:tc>
          <w:tcPr>
            <w:tcW w:type="dxa" w:w="1234"/>
          </w:tcPr>
          <w:p>
            <w:r>
              <w:rPr>
                <w:sz w:val="18"/>
              </w:rPr>
              <w:t>-0.0089</w:t>
            </w:r>
          </w:p>
        </w:tc>
        <w:tc>
          <w:tcPr>
            <w:tcW w:type="dxa" w:w="1234"/>
          </w:tcPr>
          <w:p>
            <w:r>
              <w:rPr>
                <w:sz w:val="18"/>
              </w:rPr>
              <w:t>-0.0288</w:t>
            </w:r>
          </w:p>
        </w:tc>
        <w:tc>
          <w:tcPr>
            <w:tcW w:type="dxa" w:w="1234"/>
          </w:tcPr>
          <w:p>
            <w:r>
              <w:rPr>
                <w:sz w:val="18"/>
              </w:rPr>
              <w:t>2219</w:t>
            </w:r>
          </w:p>
        </w:tc>
        <w:tc>
          <w:tcPr>
            <w:tcW w:type="dxa" w:w="1234"/>
          </w:tcPr>
          <w:p>
            <w:r>
              <w:rPr>
                <w:sz w:val="18"/>
              </w:rPr>
              <w:t>+2.7pp</w:t>
            </w:r>
          </w:p>
        </w:tc>
      </w:tr>
      <w:tr>
        <w:tc>
          <w:tcPr>
            <w:tcW w:type="dxa" w:w="1234"/>
          </w:tcPr>
          <w:p>
            <w:r>
              <w:rPr>
                <w:sz w:val="18"/>
              </w:rPr>
              <w:t>Energy Environment</w:t>
            </w:r>
          </w:p>
        </w:tc>
        <w:tc>
          <w:tcPr>
            <w:tcW w:type="dxa" w:w="1234"/>
          </w:tcPr>
          <w:p>
            <w:r>
              <w:rPr>
                <w:sz w:val="18"/>
              </w:rPr>
              <w:t>53.8%</w:t>
            </w:r>
          </w:p>
        </w:tc>
        <w:tc>
          <w:tcPr>
            <w:tcW w:type="dxa" w:w="1234"/>
          </w:tcPr>
          <w:p>
            <w:r>
              <w:rPr>
                <w:sz w:val="18"/>
              </w:rPr>
              <w:t>47.6%</w:t>
            </w:r>
          </w:p>
        </w:tc>
        <w:tc>
          <w:tcPr>
            <w:tcW w:type="dxa" w:w="1234"/>
          </w:tcPr>
          <w:p>
            <w:r>
              <w:rPr>
                <w:sz w:val="18"/>
              </w:rPr>
              <w:t>-0.0003</w:t>
            </w:r>
          </w:p>
        </w:tc>
        <w:tc>
          <w:tcPr>
            <w:tcW w:type="dxa" w:w="1234"/>
          </w:tcPr>
          <w:p>
            <w:r>
              <w:rPr>
                <w:sz w:val="18"/>
              </w:rPr>
              <w:t>-0.0302</w:t>
            </w:r>
          </w:p>
        </w:tc>
        <w:tc>
          <w:tcPr>
            <w:tcW w:type="dxa" w:w="1234"/>
          </w:tcPr>
          <w:p>
            <w:r>
              <w:rPr>
                <w:sz w:val="18"/>
              </w:rPr>
              <w:t>2201</w:t>
            </w:r>
          </w:p>
        </w:tc>
        <w:tc>
          <w:tcPr>
            <w:tcW w:type="dxa" w:w="1234"/>
          </w:tcPr>
          <w:p>
            <w:r>
              <w:rPr>
                <w:sz w:val="18"/>
              </w:rPr>
              <w:t>+6.2pp</w:t>
            </w:r>
          </w:p>
        </w:tc>
      </w:tr>
      <w:tr>
        <w:tc>
          <w:tcPr>
            <w:tcW w:type="dxa" w:w="1234"/>
          </w:tcPr>
          <w:p>
            <w:r>
              <w:rPr>
                <w:sz w:val="18"/>
              </w:rPr>
              <w:t>Health Labor</w:t>
            </w:r>
          </w:p>
        </w:tc>
        <w:tc>
          <w:tcPr>
            <w:tcW w:type="dxa" w:w="1234"/>
          </w:tcPr>
          <w:p>
            <w:r>
              <w:rPr>
                <w:sz w:val="18"/>
              </w:rPr>
              <w:t>47.6%</w:t>
            </w:r>
          </w:p>
        </w:tc>
        <w:tc>
          <w:tcPr>
            <w:tcW w:type="dxa" w:w="1234"/>
          </w:tcPr>
          <w:p>
            <w:r>
              <w:rPr>
                <w:sz w:val="18"/>
              </w:rPr>
              <w:t>48.7%</w:t>
            </w:r>
          </w:p>
        </w:tc>
        <w:tc>
          <w:tcPr>
            <w:tcW w:type="dxa" w:w="1234"/>
          </w:tcPr>
          <w:p>
            <w:r>
              <w:rPr>
                <w:sz w:val="18"/>
              </w:rPr>
              <w:t>-0.0203</w:t>
            </w:r>
          </w:p>
        </w:tc>
        <w:tc>
          <w:tcPr>
            <w:tcW w:type="dxa" w:w="1234"/>
          </w:tcPr>
          <w:p>
            <w:r>
              <w:rPr>
                <w:sz w:val="18"/>
              </w:rPr>
              <w:t>-0.0271</w:t>
            </w:r>
          </w:p>
        </w:tc>
        <w:tc>
          <w:tcPr>
            <w:tcW w:type="dxa" w:w="1234"/>
          </w:tcPr>
          <w:p>
            <w:r>
              <w:rPr>
                <w:sz w:val="18"/>
              </w:rPr>
              <w:t>2804</w:t>
            </w:r>
          </w:p>
        </w:tc>
        <w:tc>
          <w:tcPr>
            <w:tcW w:type="dxa" w:w="1234"/>
          </w:tcPr>
          <w:p>
            <w:r>
              <w:rPr>
                <w:sz w:val="18"/>
              </w:rPr>
              <w:t>-1.1pp</w:t>
            </w:r>
          </w:p>
        </w:tc>
      </w:tr>
      <w:tr>
        <w:tc>
          <w:tcPr>
            <w:tcW w:type="dxa" w:w="1234"/>
          </w:tcPr>
          <w:p>
            <w:r>
              <w:rPr>
                <w:sz w:val="18"/>
              </w:rPr>
              <w:t>Commerce Technology</w:t>
            </w:r>
          </w:p>
        </w:tc>
        <w:tc>
          <w:tcPr>
            <w:tcW w:type="dxa" w:w="1234"/>
          </w:tcPr>
          <w:p>
            <w:r>
              <w:rPr>
                <w:sz w:val="18"/>
              </w:rPr>
              <w:t>54.3%</w:t>
            </w:r>
          </w:p>
        </w:tc>
        <w:tc>
          <w:tcPr>
            <w:tcW w:type="dxa" w:w="1234"/>
          </w:tcPr>
          <w:p>
            <w:r>
              <w:rPr>
                <w:sz w:val="18"/>
              </w:rPr>
              <w:t>48.2%</w:t>
            </w:r>
          </w:p>
        </w:tc>
        <w:tc>
          <w:tcPr>
            <w:tcW w:type="dxa" w:w="1234"/>
          </w:tcPr>
          <w:p>
            <w:r>
              <w:rPr>
                <w:sz w:val="18"/>
              </w:rPr>
              <w:t>-0.0055</w:t>
            </w:r>
          </w:p>
        </w:tc>
        <w:tc>
          <w:tcPr>
            <w:tcW w:type="dxa" w:w="1234"/>
          </w:tcPr>
          <w:p>
            <w:r>
              <w:rPr>
                <w:sz w:val="18"/>
              </w:rPr>
              <w:t>-0.0269</w:t>
            </w:r>
          </w:p>
        </w:tc>
        <w:tc>
          <w:tcPr>
            <w:tcW w:type="dxa" w:w="1234"/>
          </w:tcPr>
          <w:p>
            <w:r>
              <w:rPr>
                <w:sz w:val="18"/>
              </w:rPr>
              <w:t>702</w:t>
            </w:r>
          </w:p>
        </w:tc>
        <w:tc>
          <w:tcPr>
            <w:tcW w:type="dxa" w:w="1234"/>
          </w:tcPr>
          <w:p>
            <w:r>
              <w:rPr>
                <w:sz w:val="18"/>
              </w:rPr>
              <w:t>+6.1pp</w:t>
            </w:r>
          </w:p>
        </w:tc>
      </w:tr>
      <w:tr>
        <w:tc>
          <w:tcPr>
            <w:tcW w:type="dxa" w:w="1234"/>
          </w:tcPr>
          <w:p>
            <w:r>
              <w:rPr>
                <w:sz w:val="18"/>
              </w:rPr>
              <w:t>Agriculture</w:t>
            </w:r>
          </w:p>
        </w:tc>
        <w:tc>
          <w:tcPr>
            <w:tcW w:type="dxa" w:w="1234"/>
          </w:tcPr>
          <w:p>
            <w:r>
              <w:rPr>
                <w:sz w:val="18"/>
              </w:rPr>
              <w:t>49.1%</w:t>
            </w:r>
          </w:p>
        </w:tc>
        <w:tc>
          <w:tcPr>
            <w:tcW w:type="dxa" w:w="1234"/>
          </w:tcPr>
          <w:p>
            <w:r>
              <w:rPr>
                <w:sz w:val="18"/>
              </w:rPr>
              <w:t>48.4%</w:t>
            </w:r>
          </w:p>
        </w:tc>
        <w:tc>
          <w:tcPr>
            <w:tcW w:type="dxa" w:w="1234"/>
          </w:tcPr>
          <w:p>
            <w:r>
              <w:rPr>
                <w:sz w:val="18"/>
              </w:rPr>
              <w:t>-0.0203</w:t>
            </w:r>
          </w:p>
        </w:tc>
        <w:tc>
          <w:tcPr>
            <w:tcW w:type="dxa" w:w="1234"/>
          </w:tcPr>
          <w:p>
            <w:r>
              <w:rPr>
                <w:sz w:val="18"/>
              </w:rPr>
              <w:t>-0.0269</w:t>
            </w:r>
          </w:p>
        </w:tc>
        <w:tc>
          <w:tcPr>
            <w:tcW w:type="dxa" w:w="1234"/>
          </w:tcPr>
          <w:p>
            <w:r>
              <w:rPr>
                <w:sz w:val="18"/>
              </w:rPr>
              <w:t>2434</w:t>
            </w:r>
          </w:p>
        </w:tc>
        <w:tc>
          <w:tcPr>
            <w:tcW w:type="dxa" w:w="1234"/>
          </w:tcPr>
          <w:p>
            <w:r>
              <w:rPr>
                <w:sz w:val="18"/>
              </w:rPr>
              <w:t>+0.7pp</w:t>
            </w:r>
          </w:p>
        </w:tc>
      </w:tr>
      <w:tr>
        <w:tc>
          <w:tcPr>
            <w:tcW w:type="dxa" w:w="1234"/>
          </w:tcPr>
          <w:p>
            <w:r>
              <w:rPr>
                <w:sz w:val="18"/>
              </w:rPr>
              <w:t>Infrastructure</w:t>
            </w:r>
          </w:p>
        </w:tc>
        <w:tc>
          <w:tcPr>
            <w:tcW w:type="dxa" w:w="1234"/>
          </w:tcPr>
          <w:p>
            <w:r>
              <w:rPr>
                <w:sz w:val="18"/>
              </w:rPr>
              <w:t>49.2%</w:t>
            </w:r>
          </w:p>
        </w:tc>
        <w:tc>
          <w:tcPr>
            <w:tcW w:type="dxa" w:w="1234"/>
          </w:tcPr>
          <w:p>
            <w:r>
              <w:rPr>
                <w:sz w:val="18"/>
              </w:rPr>
              <w:t>48.4%</w:t>
            </w:r>
          </w:p>
        </w:tc>
        <w:tc>
          <w:tcPr>
            <w:tcW w:type="dxa" w:w="1234"/>
          </w:tcPr>
          <w:p>
            <w:r>
              <w:rPr>
                <w:sz w:val="18"/>
              </w:rPr>
              <w:t>-0.0421</w:t>
            </w:r>
          </w:p>
        </w:tc>
        <w:tc>
          <w:tcPr>
            <w:tcW w:type="dxa" w:w="1234"/>
          </w:tcPr>
          <w:p>
            <w:r>
              <w:rPr>
                <w:sz w:val="18"/>
              </w:rPr>
              <w:t>-0.0247</w:t>
            </w:r>
          </w:p>
        </w:tc>
        <w:tc>
          <w:tcPr>
            <w:tcW w:type="dxa" w:w="1234"/>
          </w:tcPr>
          <w:p>
            <w:r>
              <w:rPr>
                <w:sz w:val="18"/>
              </w:rPr>
              <w:t>971</w:t>
            </w:r>
          </w:p>
        </w:tc>
        <w:tc>
          <w:tcPr>
            <w:tcW w:type="dxa" w:w="1234"/>
          </w:tcPr>
          <w:p>
            <w:r>
              <w:rPr>
                <w:sz w:val="18"/>
              </w:rPr>
              <w:t>+0.8pp</w:t>
            </w:r>
          </w:p>
        </w:tc>
      </w:tr>
      <w:tr>
        <w:tc>
          <w:tcPr>
            <w:tcW w:type="dxa" w:w="1234"/>
          </w:tcPr>
          <w:p>
            <w:r>
              <w:rPr>
                <w:sz w:val="18"/>
              </w:rPr>
              <w:t>Oversight</w:t>
            </w:r>
          </w:p>
        </w:tc>
        <w:tc>
          <w:tcPr>
            <w:tcW w:type="dxa" w:w="1234"/>
          </w:tcPr>
          <w:p>
            <w:r>
              <w:rPr>
                <w:sz w:val="18"/>
              </w:rPr>
              <w:t>44.7%</w:t>
            </w:r>
          </w:p>
        </w:tc>
        <w:tc>
          <w:tcPr>
            <w:tcW w:type="dxa" w:w="1234"/>
          </w:tcPr>
          <w:p>
            <w:r>
              <w:rPr>
                <w:sz w:val="18"/>
              </w:rPr>
              <w:t>49.0%</w:t>
            </w:r>
          </w:p>
        </w:tc>
        <w:tc>
          <w:tcPr>
            <w:tcW w:type="dxa" w:w="1234"/>
          </w:tcPr>
          <w:p>
            <w:r>
              <w:rPr>
                <w:sz w:val="18"/>
              </w:rPr>
              <w:t>-0.0437</w:t>
            </w:r>
          </w:p>
        </w:tc>
        <w:tc>
          <w:tcPr>
            <w:tcW w:type="dxa" w:w="1234"/>
          </w:tcPr>
          <w:p>
            <w:r>
              <w:rPr>
                <w:sz w:val="18"/>
              </w:rPr>
              <w:t>-0.0235</w:t>
            </w:r>
          </w:p>
        </w:tc>
        <w:tc>
          <w:tcPr>
            <w:tcW w:type="dxa" w:w="1234"/>
          </w:tcPr>
          <w:p>
            <w:r>
              <w:rPr>
                <w:sz w:val="18"/>
              </w:rPr>
              <w:t>1759</w:t>
            </w:r>
          </w:p>
        </w:tc>
        <w:tc>
          <w:tcPr>
            <w:tcW w:type="dxa" w:w="1234"/>
          </w:tcPr>
          <w:p>
            <w:r>
              <w:rPr>
                <w:sz w:val="18"/>
              </w:rPr>
              <w:t>-4.2pp</w:t>
            </w:r>
          </w:p>
        </w:tc>
      </w:tr>
      <w:tr>
        <w:tc>
          <w:tcPr>
            <w:tcW w:type="dxa" w:w="1234"/>
          </w:tcPr>
          <w:p>
            <w:r>
              <w:rPr>
                <w:sz w:val="18"/>
              </w:rPr>
              <w:t>Is Chair</w:t>
            </w:r>
          </w:p>
        </w:tc>
        <w:tc>
          <w:tcPr>
            <w:tcW w:type="dxa" w:w="1234"/>
          </w:tcPr>
          <w:p>
            <w:r>
              <w:rPr>
                <w:sz w:val="18"/>
              </w:rPr>
              <w:t>50.1%</w:t>
            </w:r>
          </w:p>
        </w:tc>
        <w:tc>
          <w:tcPr>
            <w:tcW w:type="dxa" w:w="1234"/>
          </w:tcPr>
          <w:p>
            <w:r>
              <w:rPr>
                <w:sz w:val="18"/>
              </w:rPr>
              <w:t>48.3%</w:t>
            </w:r>
          </w:p>
        </w:tc>
        <w:tc>
          <w:tcPr>
            <w:tcW w:type="dxa" w:w="1234"/>
          </w:tcPr>
          <w:p>
            <w:r>
              <w:rPr>
                <w:sz w:val="18"/>
              </w:rPr>
              <w:t>-0.0090</w:t>
            </w:r>
          </w:p>
        </w:tc>
        <w:tc>
          <w:tcPr>
            <w:tcW w:type="dxa" w:w="1234"/>
          </w:tcPr>
          <w:p>
            <w:r>
              <w:rPr>
                <w:sz w:val="18"/>
              </w:rPr>
              <w:t>-0.0276</w:t>
            </w:r>
          </w:p>
        </w:tc>
        <w:tc>
          <w:tcPr>
            <w:tcW w:type="dxa" w:w="1234"/>
          </w:tcPr>
          <w:p>
            <w:r>
              <w:rPr>
                <w:sz w:val="18"/>
              </w:rPr>
              <w:t>1406</w:t>
            </w:r>
          </w:p>
        </w:tc>
        <w:tc>
          <w:tcPr>
            <w:tcW w:type="dxa" w:w="1234"/>
          </w:tcPr>
          <w:p>
            <w:r>
              <w:rPr>
                <w:sz w:val="18"/>
              </w:rPr>
              <w:t>+1.7pp</w:t>
            </w:r>
          </w:p>
        </w:tc>
      </w:tr>
      <w:tr>
        <w:tc>
          <w:tcPr>
            <w:tcW w:type="dxa" w:w="1234"/>
          </w:tcPr>
          <w:p>
            <w:r>
              <w:rPr>
                <w:sz w:val="18"/>
              </w:rPr>
              <w:t>Is Majority</w:t>
            </w:r>
          </w:p>
        </w:tc>
        <w:tc>
          <w:tcPr>
            <w:tcW w:type="dxa" w:w="1234"/>
          </w:tcPr>
          <w:p>
            <w:r>
              <w:rPr>
                <w:sz w:val="18"/>
              </w:rPr>
              <w:t>51.6%</w:t>
            </w:r>
          </w:p>
        </w:tc>
        <w:tc>
          <w:tcPr>
            <w:tcW w:type="dxa" w:w="1234"/>
          </w:tcPr>
          <w:p>
            <w:r>
              <w:rPr>
                <w:sz w:val="18"/>
              </w:rPr>
              <w:t>47.9%</w:t>
            </w:r>
          </w:p>
        </w:tc>
        <w:tc>
          <w:tcPr>
            <w:tcW w:type="dxa" w:w="1234"/>
          </w:tcPr>
          <w:p>
            <w:r>
              <w:rPr>
                <w:sz w:val="18"/>
              </w:rPr>
              <w:t>-0.0083</w:t>
            </w:r>
          </w:p>
        </w:tc>
        <w:tc>
          <w:tcPr>
            <w:tcW w:type="dxa" w:w="1234"/>
          </w:tcPr>
          <w:p>
            <w:r>
              <w:rPr>
                <w:sz w:val="18"/>
              </w:rPr>
              <w:t>-0.0292</w:t>
            </w:r>
          </w:p>
        </w:tc>
        <w:tc>
          <w:tcPr>
            <w:tcW w:type="dxa" w:w="1234"/>
          </w:tcPr>
          <w:p>
            <w:r>
              <w:rPr>
                <w:sz w:val="18"/>
              </w:rPr>
              <w:t>2434</w:t>
            </w:r>
          </w:p>
        </w:tc>
        <w:tc>
          <w:tcPr>
            <w:tcW w:type="dxa" w:w="1234"/>
          </w:tcPr>
          <w:p>
            <w:r>
              <w:rPr>
                <w:sz w:val="18"/>
              </w:rPr>
              <w:t>+3.8pp</w:t>
            </w:r>
          </w:p>
        </w:tc>
      </w:tr>
      <w:tr>
        <w:tc>
          <w:tcPr>
            <w:tcW w:type="dxa" w:w="1234"/>
          </w:tcPr>
          <w:p>
            <w:r>
              <w:rPr>
                <w:sz w:val="18"/>
              </w:rPr>
              <w:t>Lobbied Any 90D</w:t>
            </w:r>
          </w:p>
        </w:tc>
        <w:tc>
          <w:tcPr>
            <w:tcW w:type="dxa" w:w="1234"/>
          </w:tcPr>
          <w:p>
            <w:r>
              <w:rPr>
                <w:sz w:val="18"/>
              </w:rPr>
              <w:t>57.1%</w:t>
            </w:r>
          </w:p>
        </w:tc>
        <w:tc>
          <w:tcPr>
            <w:tcW w:type="dxa" w:w="1234"/>
          </w:tcPr>
          <w:p>
            <w:r>
              <w:rPr>
                <w:sz w:val="18"/>
              </w:rPr>
              <w:t>47.9%</w:t>
            </w:r>
          </w:p>
        </w:tc>
        <w:tc>
          <w:tcPr>
            <w:tcW w:type="dxa" w:w="1234"/>
          </w:tcPr>
          <w:p>
            <w:r>
              <w:rPr>
                <w:sz w:val="18"/>
              </w:rPr>
              <w:t>+0.0254</w:t>
            </w:r>
          </w:p>
        </w:tc>
        <w:tc>
          <w:tcPr>
            <w:tcW w:type="dxa" w:w="1234"/>
          </w:tcPr>
          <w:p>
            <w:r>
              <w:rPr>
                <w:sz w:val="18"/>
              </w:rPr>
              <w:t>-0.0294</w:t>
            </w:r>
          </w:p>
        </w:tc>
        <w:tc>
          <w:tcPr>
            <w:tcW w:type="dxa" w:w="1234"/>
          </w:tcPr>
          <w:p>
            <w:r>
              <w:rPr>
                <w:sz w:val="18"/>
              </w:rPr>
              <w:t>971</w:t>
            </w:r>
          </w:p>
        </w:tc>
        <w:tc>
          <w:tcPr>
            <w:tcW w:type="dxa" w:w="1234"/>
          </w:tcPr>
          <w:p>
            <w:r>
              <w:rPr>
                <w:sz w:val="18"/>
              </w:rPr>
              <w:t>+9.2pp</w:t>
            </w:r>
          </w:p>
        </w:tc>
      </w:tr>
    </w:tbl>
    <w:p>
      <w:r>
        <w:rPr>
          <w:i/>
          <w:sz w:val="20"/>
        </w:rPr>
        <w:t>Positive lift values indicate that being on a given committee category is associated with higher positive-CAR rates. A large lift on lobbied_any_90d suggests that actively lobbied companies may be better-known large-caps rather than a direct insider-information signal.</w:t>
      </w:r>
    </w:p>
    <w:p/>
    <w:p>
      <w:pPr>
        <w:pStyle w:val="Heading2"/>
        <w:jc w:val="left"/>
      </w:pPr>
      <w:r>
        <w:t>2c. Stock-Level Characteristics</w:t>
      </w:r>
    </w:p>
    <w:p>
      <w:r>
        <w:rPr>
          <w:sz w:val="20"/>
        </w:rPr>
        <w:t>Beyond politician-specific signals, the stock's own momentum and volatility at the time of purchase may predict future performance. High momentum stocks could indicate trend-following behaviour; high volatility introduces noise. Beta captures systematic market exposure — low-beta defensive stocks may behave differently under different market regimes.</w:t>
      </w:r>
    </w:p>
    <w:p/>
    <w:p>
      <w:r>
        <w:drawing>
          <wp:inline xmlns:a="http://schemas.openxmlformats.org/drawingml/2006/main" xmlns:pic="http://schemas.openxmlformats.org/drawingml/2006/picture">
            <wp:extent cx="5943600" cy="197637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1976374"/>
                    </a:xfrm>
                    <a:prstGeom prst="rect"/>
                  </pic:spPr>
                </pic:pic>
              </a:graphicData>
            </a:graphic>
          </wp:inline>
        </w:drawing>
      </w:r>
    </w:p>
    <w:p>
      <w:r>
        <w:rPr>
          <w:i/>
          <w:sz w:val="20"/>
        </w:rPr>
        <w:t>Note: for momentum, a positive slope from Q1 to Q5 would indicate that politicians are buying into rising stocks that continue to outperform (momentum effect). A U-shaped or inverted pattern would suggest mean reversion dynamics. Volatility quintiles help assess whether the model should favour lower-risk, steadier outperformers.</w:t>
      </w:r>
    </w:p>
    <w:p/>
    <w:p>
      <w:pPr>
        <w:pStyle w:val="Heading2"/>
        <w:jc w:val="left"/>
      </w:pPr>
      <w:r>
        <w:t>2d. Feature Correlations with Realized CAR</w:t>
      </w:r>
    </w:p>
    <w:p>
      <w:r>
        <w:rPr>
          <w:sz w:val="20"/>
        </w:rPr>
        <w:t>The table below shows the Pearson and Spearman correlations between each numerical feature and the realized_car_hybrid target, computed on the full modelled dataset (before train/test split). Pearson captures linear relationships; Spearman captures monotonic ones. Features with high absolute Spearman correlation are the most consistently predictive across the distribution.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Pearson r</w:t>
            </w:r>
          </w:p>
        </w:tc>
        <w:tc>
          <w:tcPr>
            <w:tcW w:type="dxa" w:w="2880"/>
          </w:tcPr>
          <w:p>
            <w:r>
              <w:rPr>
                <w:b/>
                <w:sz w:val="18"/>
              </w:rPr>
              <w:t>Spearman ρ</w:t>
            </w:r>
          </w:p>
        </w:tc>
      </w:tr>
      <w:tr>
        <w:tc>
          <w:tcPr>
            <w:tcW w:type="dxa" w:w="2880"/>
          </w:tcPr>
          <w:p>
            <w:r>
              <w:rPr>
                <w:sz w:val="18"/>
              </w:rPr>
              <w:t>all_pol_sells_same_ticker_30d</w:t>
            </w:r>
          </w:p>
        </w:tc>
        <w:tc>
          <w:tcPr>
            <w:tcW w:type="dxa" w:w="2880"/>
          </w:tcPr>
          <w:p>
            <w:r>
              <w:rPr>
                <w:sz w:val="18"/>
              </w:rPr>
              <w:t>+0.0368</w:t>
            </w:r>
          </w:p>
        </w:tc>
        <w:tc>
          <w:tcPr>
            <w:tcW w:type="dxa" w:w="2880"/>
          </w:tcPr>
          <w:p>
            <w:r>
              <w:rPr>
                <w:sz w:val="18"/>
              </w:rPr>
              <w:t>+0.0468</w:t>
            </w:r>
          </w:p>
        </w:tc>
      </w:tr>
      <w:tr>
        <w:tc>
          <w:tcPr>
            <w:tcW w:type="dxa" w:w="2880"/>
          </w:tcPr>
          <w:p>
            <w:r>
              <w:rPr>
                <w:sz w:val="18"/>
              </w:rPr>
              <w:t>beta</w:t>
            </w:r>
          </w:p>
        </w:tc>
        <w:tc>
          <w:tcPr>
            <w:tcW w:type="dxa" w:w="2880"/>
          </w:tcPr>
          <w:p>
            <w:r>
              <w:rPr>
                <w:sz w:val="18"/>
              </w:rPr>
              <w:t>-0.0262</w:t>
            </w:r>
          </w:p>
        </w:tc>
        <w:tc>
          <w:tcPr>
            <w:tcW w:type="dxa" w:w="2880"/>
          </w:tcPr>
          <w:p>
            <w:r>
              <w:rPr>
                <w:sz w:val="18"/>
              </w:rPr>
              <w:t>-0.0448</w:t>
            </w:r>
          </w:p>
        </w:tc>
      </w:tr>
      <w:tr>
        <w:tc>
          <w:tcPr>
            <w:tcW w:type="dxa" w:w="2880"/>
          </w:tcPr>
          <w:p>
            <w:r>
              <w:rPr>
                <w:sz w:val="18"/>
              </w:rPr>
              <w:t>stock_volatility_30d</w:t>
            </w:r>
          </w:p>
        </w:tc>
        <w:tc>
          <w:tcPr>
            <w:tcW w:type="dxa" w:w="2880"/>
          </w:tcPr>
          <w:p>
            <w:r>
              <w:rPr>
                <w:sz w:val="18"/>
              </w:rPr>
              <w:t>-0.0579</w:t>
            </w:r>
          </w:p>
        </w:tc>
        <w:tc>
          <w:tcPr>
            <w:tcW w:type="dxa" w:w="2880"/>
          </w:tcPr>
          <w:p>
            <w:r>
              <w:rPr>
                <w:sz w:val="18"/>
              </w:rPr>
              <w:t>-0.0421</w:t>
            </w:r>
          </w:p>
        </w:tc>
      </w:tr>
      <w:tr>
        <w:tc>
          <w:tcPr>
            <w:tcW w:type="dxa" w:w="2880"/>
          </w:tcPr>
          <w:p>
            <w:r>
              <w:rPr>
                <w:sz w:val="18"/>
              </w:rPr>
              <w:t>politician_mean_car_past</w:t>
            </w:r>
          </w:p>
        </w:tc>
        <w:tc>
          <w:tcPr>
            <w:tcW w:type="dxa" w:w="2880"/>
          </w:tcPr>
          <w:p>
            <w:r>
              <w:rPr>
                <w:sz w:val="18"/>
              </w:rPr>
              <w:t>-0.0276</w:t>
            </w:r>
          </w:p>
        </w:tc>
        <w:tc>
          <w:tcPr>
            <w:tcW w:type="dxa" w:w="2880"/>
          </w:tcPr>
          <w:p>
            <w:r>
              <w:rPr>
                <w:sz w:val="18"/>
              </w:rPr>
              <w:t>-0.0317</w:t>
            </w:r>
          </w:p>
        </w:tc>
      </w:tr>
      <w:tr>
        <w:tc>
          <w:tcPr>
            <w:tcW w:type="dxa" w:w="2880"/>
          </w:tcPr>
          <w:p>
            <w:r>
              <w:rPr>
                <w:sz w:val="18"/>
              </w:rPr>
              <w:t>max_committee_rank</w:t>
            </w:r>
          </w:p>
        </w:tc>
        <w:tc>
          <w:tcPr>
            <w:tcW w:type="dxa" w:w="2880"/>
          </w:tcPr>
          <w:p>
            <w:r>
              <w:rPr>
                <w:sz w:val="18"/>
              </w:rPr>
              <w:t>-0.0165</w:t>
            </w:r>
          </w:p>
        </w:tc>
        <w:tc>
          <w:tcPr>
            <w:tcW w:type="dxa" w:w="2880"/>
          </w:tcPr>
          <w:p>
            <w:r>
              <w:rPr>
                <w:sz w:val="18"/>
              </w:rPr>
              <w:t>-0.0289</w:t>
            </w:r>
          </w:p>
        </w:tc>
      </w:tr>
      <w:tr>
        <w:tc>
          <w:tcPr>
            <w:tcW w:type="dxa" w:w="2880"/>
          </w:tcPr>
          <w:p>
            <w:r>
              <w:rPr>
                <w:sz w:val="18"/>
              </w:rPr>
              <w:t>ticker_prior_buys</w:t>
            </w:r>
          </w:p>
        </w:tc>
        <w:tc>
          <w:tcPr>
            <w:tcW w:type="dxa" w:w="2880"/>
          </w:tcPr>
          <w:p>
            <w:r>
              <w:rPr>
                <w:sz w:val="18"/>
              </w:rPr>
              <w:t>+0.0155</w:t>
            </w:r>
          </w:p>
        </w:tc>
        <w:tc>
          <w:tcPr>
            <w:tcW w:type="dxa" w:w="2880"/>
          </w:tcPr>
          <w:p>
            <w:r>
              <w:rPr>
                <w:sz w:val="18"/>
              </w:rPr>
              <w:t>+0.0230</w:t>
            </w:r>
          </w:p>
        </w:tc>
      </w:tr>
      <w:tr>
        <w:tc>
          <w:tcPr>
            <w:tcW w:type="dxa" w:w="2880"/>
          </w:tcPr>
          <w:p>
            <w:r>
              <w:rPr>
                <w:sz w:val="18"/>
              </w:rPr>
              <w:t>n_committees</w:t>
            </w:r>
          </w:p>
        </w:tc>
        <w:tc>
          <w:tcPr>
            <w:tcW w:type="dxa" w:w="2880"/>
          </w:tcPr>
          <w:p>
            <w:r>
              <w:rPr>
                <w:sz w:val="18"/>
              </w:rPr>
              <w:t>+0.0265</w:t>
            </w:r>
          </w:p>
        </w:tc>
        <w:tc>
          <w:tcPr>
            <w:tcW w:type="dxa" w:w="2880"/>
          </w:tcPr>
          <w:p>
            <w:r>
              <w:rPr>
                <w:sz w:val="18"/>
              </w:rPr>
              <w:t>+0.0213</w:t>
            </w:r>
          </w:p>
        </w:tc>
      </w:tr>
      <w:tr>
        <w:tc>
          <w:tcPr>
            <w:tcW w:type="dxa" w:w="2880"/>
          </w:tcPr>
          <w:p>
            <w:r>
              <w:rPr>
                <w:sz w:val="18"/>
              </w:rPr>
              <w:t>log_trade_size</w:t>
            </w:r>
          </w:p>
        </w:tc>
        <w:tc>
          <w:tcPr>
            <w:tcW w:type="dxa" w:w="2880"/>
          </w:tcPr>
          <w:p>
            <w:r>
              <w:rPr>
                <w:sz w:val="18"/>
              </w:rPr>
              <w:t>-0.0227</w:t>
            </w:r>
          </w:p>
        </w:tc>
        <w:tc>
          <w:tcPr>
            <w:tcW w:type="dxa" w:w="2880"/>
          </w:tcPr>
          <w:p>
            <w:r>
              <w:rPr>
                <w:sz w:val="18"/>
              </w:rPr>
              <w:t>-0.0191</w:t>
            </w:r>
          </w:p>
        </w:tc>
      </w:tr>
      <w:tr>
        <w:tc>
          <w:tcPr>
            <w:tcW w:type="dxa" w:w="2880"/>
          </w:tcPr>
          <w:p>
            <w:r>
              <w:rPr>
                <w:sz w:val="18"/>
              </w:rPr>
              <w:t>stock_momentum_90d</w:t>
            </w:r>
          </w:p>
        </w:tc>
        <w:tc>
          <w:tcPr>
            <w:tcW w:type="dxa" w:w="2880"/>
          </w:tcPr>
          <w:p>
            <w:r>
              <w:rPr>
                <w:sz w:val="18"/>
              </w:rPr>
              <w:t>-0.0496</w:t>
            </w:r>
          </w:p>
        </w:tc>
        <w:tc>
          <w:tcPr>
            <w:tcW w:type="dxa" w:w="2880"/>
          </w:tcPr>
          <w:p>
            <w:r>
              <w:rPr>
                <w:sz w:val="18"/>
              </w:rPr>
              <w:t>-0.0144</w:t>
            </w:r>
          </w:p>
        </w:tc>
      </w:tr>
      <w:tr>
        <w:tc>
          <w:tcPr>
            <w:tcW w:type="dxa" w:w="2880"/>
          </w:tcPr>
          <w:p>
            <w:r>
              <w:rPr>
                <w:sz w:val="18"/>
              </w:rPr>
              <w:t>stock_momentum_30d</w:t>
            </w:r>
          </w:p>
        </w:tc>
        <w:tc>
          <w:tcPr>
            <w:tcW w:type="dxa" w:w="2880"/>
          </w:tcPr>
          <w:p>
            <w:r>
              <w:rPr>
                <w:sz w:val="18"/>
              </w:rPr>
              <w:t>-0.0463</w:t>
            </w:r>
          </w:p>
        </w:tc>
        <w:tc>
          <w:tcPr>
            <w:tcW w:type="dxa" w:w="2880"/>
          </w:tcPr>
          <w:p>
            <w:r>
              <w:rPr>
                <w:sz w:val="18"/>
              </w:rPr>
              <w:t>-0.0111</w:t>
            </w:r>
          </w:p>
        </w:tc>
      </w:tr>
      <w:tr>
        <w:tc>
          <w:tcPr>
            <w:tcW w:type="dxa" w:w="2880"/>
          </w:tcPr>
          <w:p>
            <w:r>
              <w:rPr>
                <w:sz w:val="18"/>
              </w:rPr>
              <w:t>politician_mean_realized_car_past</w:t>
            </w:r>
          </w:p>
        </w:tc>
        <w:tc>
          <w:tcPr>
            <w:tcW w:type="dxa" w:w="2880"/>
          </w:tcPr>
          <w:p>
            <w:r>
              <w:rPr>
                <w:sz w:val="18"/>
              </w:rPr>
              <w:t>-0.0358</w:t>
            </w:r>
          </w:p>
        </w:tc>
        <w:tc>
          <w:tcPr>
            <w:tcW w:type="dxa" w:w="2880"/>
          </w:tcPr>
          <w:p>
            <w:r>
              <w:rPr>
                <w:sz w:val="18"/>
              </w:rPr>
              <w:t>-0.0092</w:t>
            </w:r>
          </w:p>
        </w:tc>
      </w:tr>
      <w:tr>
        <w:tc>
          <w:tcPr>
            <w:tcW w:type="dxa" w:w="2880"/>
          </w:tcPr>
          <w:p>
            <w:r>
              <w:rPr>
                <w:sz w:val="18"/>
              </w:rPr>
              <w:t>politician_trades_last_year</w:t>
            </w:r>
          </w:p>
        </w:tc>
        <w:tc>
          <w:tcPr>
            <w:tcW w:type="dxa" w:w="2880"/>
          </w:tcPr>
          <w:p>
            <w:r>
              <w:rPr>
                <w:sz w:val="18"/>
              </w:rPr>
              <w:t>+0.0022</w:t>
            </w:r>
          </w:p>
        </w:tc>
        <w:tc>
          <w:tcPr>
            <w:tcW w:type="dxa" w:w="2880"/>
          </w:tcPr>
          <w:p>
            <w:r>
              <w:rPr>
                <w:sz w:val="18"/>
              </w:rPr>
              <w:t>-0.0057</w:t>
            </w:r>
          </w:p>
        </w:tc>
      </w:tr>
      <w:tr>
        <w:tc>
          <w:tcPr>
            <w:tcW w:type="dxa" w:w="2880"/>
          </w:tcPr>
          <w:p>
            <w:r>
              <w:rPr>
                <w:sz w:val="18"/>
              </w:rPr>
              <w:t>politician_hit_rate_past</w:t>
            </w:r>
          </w:p>
        </w:tc>
        <w:tc>
          <w:tcPr>
            <w:tcW w:type="dxa" w:w="2880"/>
          </w:tcPr>
          <w:p>
            <w:r>
              <w:rPr>
                <w:sz w:val="18"/>
              </w:rPr>
              <w:t>+0.0151</w:t>
            </w:r>
          </w:p>
        </w:tc>
        <w:tc>
          <w:tcPr>
            <w:tcW w:type="dxa" w:w="2880"/>
          </w:tcPr>
          <w:p>
            <w:r>
              <w:rPr>
                <w:sz w:val="18"/>
              </w:rPr>
              <w:t>-0.0049</w:t>
            </w:r>
          </w:p>
        </w:tc>
      </w:tr>
      <w:tr>
        <w:tc>
          <w:tcPr>
            <w:tcW w:type="dxa" w:w="2880"/>
          </w:tcPr>
          <w:p>
            <w:r>
              <w:rPr>
                <w:sz w:val="18"/>
              </w:rPr>
              <w:t>car_traded_to_filed</w:t>
            </w:r>
          </w:p>
        </w:tc>
        <w:tc>
          <w:tcPr>
            <w:tcW w:type="dxa" w:w="2880"/>
          </w:tcPr>
          <w:p>
            <w:r>
              <w:rPr>
                <w:sz w:val="18"/>
              </w:rPr>
              <w:t>+0.0479</w:t>
            </w:r>
          </w:p>
        </w:tc>
        <w:tc>
          <w:tcPr>
            <w:tcW w:type="dxa" w:w="2880"/>
          </w:tcPr>
          <w:p>
            <w:r>
              <w:rPr>
                <w:sz w:val="18"/>
              </w:rPr>
              <w:t>+0.0006</w:t>
            </w:r>
          </w:p>
        </w:tc>
      </w:tr>
    </w:tbl>
    <w:p>
      <w:r>
        <w:rPr>
          <w:i/>
          <w:sz w:val="20"/>
        </w:rPr>
        <w:t>Features at the top of this table provide the strongest monotonic signal for predicting above-market returns. Even modest correlations (~0.05–0.15) can be economically significant when combined in an ensemble model, especially if they are orthogonal (i.e. each captures a different aspect of the trade).</w:t>
      </w:r>
    </w:p>
    <w:p>
      <w:r>
        <w:br w:type="page"/>
      </w:r>
    </w:p>
    <w:p>
      <w:pPr>
        <w:pStyle w:val="Heading1"/>
        <w:jc w:val="left"/>
      </w:pPr>
      <w:r>
        <w:t>3. Model Performance &amp; Feature Importances</w:t>
      </w:r>
    </w:p>
    <w:p>
      <w:r>
        <w:rPr>
          <w:sz w:val="20"/>
        </w:rPr>
        <w:t>The model is an XGBoost classifier trained on an 80/20 time-based split (never random, always chronological) to prevent look-ahead bias. The target is a binary indicator: does the realized_car_hybrid exceed 0? Model inputs are 31 features spanning politician skill, stock characteristics, committee membership, and lobbying signals. This section covers (A) which features the model learned to rely on most, followed by (B) threshold-level precision/recall trade-offs, (C) the confusion matrix, and (D) a dollar-value simulation on the test set.</w:t>
      </w:r>
    </w:p>
    <w:p/>
    <w:p>
      <w:pPr>
        <w:pStyle w:val="Heading2"/>
        <w:jc w:val="left"/>
      </w:pPr>
      <w:r>
        <w:t>3a. XGBoost Feature Importances</w:t>
      </w:r>
    </w:p>
    <w:p>
      <w:r>
        <w:rPr>
          <w:sz w:val="20"/>
        </w:rPr>
        <w:t>Feature importance (measured by average gain across all splits using each feature) shows which signals the model weighted most heavily. Features at the top explain a disproportionate share of the model's predictive power. It is notable whether politician-specific skill signals (hit rate, mean CAR) dominate over market signals (momentum, volatility) — this has implications for the source of any alpha in the model.</w:t>
      </w:r>
    </w:p>
    <w:p/>
    <w:p>
      <w:r>
        <w:drawing>
          <wp:inline xmlns:a="http://schemas.openxmlformats.org/drawingml/2006/main" xmlns:pic="http://schemas.openxmlformats.org/drawingml/2006/picture">
            <wp:extent cx="5669280" cy="422111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221113"/>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Feature</w:t>
            </w:r>
          </w:p>
        </w:tc>
        <w:tc>
          <w:tcPr>
            <w:tcW w:type="dxa" w:w="4320"/>
          </w:tcPr>
          <w:p>
            <w:r>
              <w:rPr>
                <w:b/>
                <w:sz w:val="18"/>
              </w:rPr>
              <w:t>Importance (gain)</w:t>
            </w:r>
          </w:p>
        </w:tc>
      </w:tr>
      <w:tr>
        <w:tc>
          <w:tcPr>
            <w:tcW w:type="dxa" w:w="4320"/>
          </w:tcPr>
          <w:p>
            <w:r>
              <w:rPr>
                <w:sz w:val="18"/>
              </w:rPr>
              <w:t>lobbied_any_90d</w:t>
            </w:r>
          </w:p>
        </w:tc>
        <w:tc>
          <w:tcPr>
            <w:tcW w:type="dxa" w:w="4320"/>
          </w:tcPr>
          <w:p>
            <w:r>
              <w:rPr>
                <w:sz w:val="18"/>
              </w:rPr>
              <w:t>0.050378</w:t>
            </w:r>
          </w:p>
        </w:tc>
      </w:tr>
      <w:tr>
        <w:tc>
          <w:tcPr>
            <w:tcW w:type="dxa" w:w="4320"/>
          </w:tcPr>
          <w:p>
            <w:r>
              <w:rPr>
                <w:sz w:val="18"/>
              </w:rPr>
              <w:t>Industry match 3</w:t>
            </w:r>
          </w:p>
        </w:tc>
        <w:tc>
          <w:tcPr>
            <w:tcW w:type="dxa" w:w="4320"/>
          </w:tcPr>
          <w:p>
            <w:r>
              <w:rPr>
                <w:sz w:val="18"/>
              </w:rPr>
              <w:t>0.041657</w:t>
            </w:r>
          </w:p>
        </w:tc>
      </w:tr>
      <w:tr>
        <w:tc>
          <w:tcPr>
            <w:tcW w:type="dxa" w:w="4320"/>
          </w:tcPr>
          <w:p>
            <w:r>
              <w:rPr>
                <w:sz w:val="18"/>
              </w:rPr>
              <w:t>committee_oversight</w:t>
            </w:r>
          </w:p>
        </w:tc>
        <w:tc>
          <w:tcPr>
            <w:tcW w:type="dxa" w:w="4320"/>
          </w:tcPr>
          <w:p>
            <w:r>
              <w:rPr>
                <w:sz w:val="18"/>
              </w:rPr>
              <w:t>0.037881</w:t>
            </w:r>
          </w:p>
        </w:tc>
      </w:tr>
      <w:tr>
        <w:tc>
          <w:tcPr>
            <w:tcW w:type="dxa" w:w="4320"/>
          </w:tcPr>
          <w:p>
            <w:r>
              <w:rPr>
                <w:sz w:val="18"/>
              </w:rPr>
              <w:t>Industry match 1</w:t>
            </w:r>
          </w:p>
        </w:tc>
        <w:tc>
          <w:tcPr>
            <w:tcW w:type="dxa" w:w="4320"/>
          </w:tcPr>
          <w:p>
            <w:r>
              <w:rPr>
                <w:sz w:val="18"/>
              </w:rPr>
              <w:t>0.032111</w:t>
            </w:r>
          </w:p>
        </w:tc>
      </w:tr>
      <w:tr>
        <w:tc>
          <w:tcPr>
            <w:tcW w:type="dxa" w:w="4320"/>
          </w:tcPr>
          <w:p>
            <w:r>
              <w:rPr>
                <w:sz w:val="18"/>
              </w:rPr>
              <w:t>Chamber</w:t>
            </w:r>
          </w:p>
        </w:tc>
        <w:tc>
          <w:tcPr>
            <w:tcW w:type="dxa" w:w="4320"/>
          </w:tcPr>
          <w:p>
            <w:r>
              <w:rPr>
                <w:sz w:val="18"/>
              </w:rPr>
              <w:t>0.031334</w:t>
            </w:r>
          </w:p>
        </w:tc>
      </w:tr>
      <w:tr>
        <w:tc>
          <w:tcPr>
            <w:tcW w:type="dxa" w:w="4320"/>
          </w:tcPr>
          <w:p>
            <w:r>
              <w:rPr>
                <w:sz w:val="18"/>
              </w:rPr>
              <w:t>politician_mean_realized_car_past</w:t>
            </w:r>
          </w:p>
        </w:tc>
        <w:tc>
          <w:tcPr>
            <w:tcW w:type="dxa" w:w="4320"/>
          </w:tcPr>
          <w:p>
            <w:r>
              <w:rPr>
                <w:sz w:val="18"/>
              </w:rPr>
              <w:t>0.031226</w:t>
            </w:r>
          </w:p>
        </w:tc>
      </w:tr>
      <w:tr>
        <w:tc>
          <w:tcPr>
            <w:tcW w:type="dxa" w:w="4320"/>
          </w:tcPr>
          <w:p>
            <w:r>
              <w:rPr>
                <w:sz w:val="18"/>
              </w:rPr>
              <w:t>committee_energy_environment</w:t>
            </w:r>
          </w:p>
        </w:tc>
        <w:tc>
          <w:tcPr>
            <w:tcW w:type="dxa" w:w="4320"/>
          </w:tcPr>
          <w:p>
            <w:r>
              <w:rPr>
                <w:sz w:val="18"/>
              </w:rPr>
              <w:t>0.031221</w:t>
            </w:r>
          </w:p>
        </w:tc>
      </w:tr>
      <w:tr>
        <w:tc>
          <w:tcPr>
            <w:tcW w:type="dxa" w:w="4320"/>
          </w:tcPr>
          <w:p>
            <w:r>
              <w:rPr>
                <w:sz w:val="18"/>
              </w:rPr>
              <w:t>Industry match 2</w:t>
            </w:r>
          </w:p>
        </w:tc>
        <w:tc>
          <w:tcPr>
            <w:tcW w:type="dxa" w:w="4320"/>
          </w:tcPr>
          <w:p>
            <w:r>
              <w:rPr>
                <w:sz w:val="18"/>
              </w:rPr>
              <w:t>0.031200</w:t>
            </w:r>
          </w:p>
        </w:tc>
      </w:tr>
      <w:tr>
        <w:tc>
          <w:tcPr>
            <w:tcW w:type="dxa" w:w="4320"/>
          </w:tcPr>
          <w:p>
            <w:r>
              <w:rPr>
                <w:sz w:val="18"/>
              </w:rPr>
              <w:t>all_pol_sells_same_ticker_30d</w:t>
            </w:r>
          </w:p>
        </w:tc>
        <w:tc>
          <w:tcPr>
            <w:tcW w:type="dxa" w:w="4320"/>
          </w:tcPr>
          <w:p>
            <w:r>
              <w:rPr>
                <w:sz w:val="18"/>
              </w:rPr>
              <w:t>0.030806</w:t>
            </w:r>
          </w:p>
        </w:tc>
      </w:tr>
      <w:tr>
        <w:tc>
          <w:tcPr>
            <w:tcW w:type="dxa" w:w="4320"/>
          </w:tcPr>
          <w:p>
            <w:r>
              <w:rPr>
                <w:sz w:val="18"/>
              </w:rPr>
              <w:t>committee_finance_housing</w:t>
            </w:r>
          </w:p>
        </w:tc>
        <w:tc>
          <w:tcPr>
            <w:tcW w:type="dxa" w:w="4320"/>
          </w:tcPr>
          <w:p>
            <w:r>
              <w:rPr>
                <w:sz w:val="18"/>
              </w:rPr>
              <w:t>0.030760</w:t>
            </w:r>
          </w:p>
        </w:tc>
      </w:tr>
    </w:tbl>
    <w:p>
      <w:r>
        <w:rPr>
          <w:i/>
          <w:sz w:val="20"/>
        </w:rPr>
        <w:t>Red bars mark features above the median importance threshold. A model heavily dominated by one or two features may be overfitting to that signal; a more distributed importance profile suggests the model is combining complementary signals.</w:t>
      </w:r>
    </w:p>
    <w:p/>
    <w:p>
      <w:pPr>
        <w:pStyle w:val="Heading2"/>
        <w:jc w:val="left"/>
      </w:pPr>
      <w:r>
        <w:t>3b. Threshold Performance Table</w:t>
      </w:r>
    </w:p>
    <w:p>
      <w:r>
        <w:rPr>
          <w:sz w:val="20"/>
        </w:rPr>
        <w:t>Adjusting the classification threshold changes the precision/recall trade-off. A higher threshold means the model only signals a trade when it is highly confident, reducing the number of predictions but increasing precision. The 'Mean CAR (Pred +)' column shows the average return of the trades flagged as positive at each threshold — this is the most economically relevant metric.</w:t>
      </w:r>
    </w:p>
    <w:p/>
    <w:p>
      <w:r>
        <w:rPr>
          <w:i/>
          <w:sz w:val="20"/>
        </w:rPr>
        <w:t>Train/test split date: 2022-12-07  | Test set size: 3,025 trades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Threshold</w:t>
            </w:r>
          </w:p>
        </w:tc>
        <w:tc>
          <w:tcPr>
            <w:tcW w:type="dxa" w:w="1440"/>
          </w:tcPr>
          <w:p>
            <w:r>
              <w:rPr>
                <w:b/>
                <w:sz w:val="18"/>
              </w:rPr>
              <w:t>Precision</w:t>
            </w:r>
          </w:p>
        </w:tc>
        <w:tc>
          <w:tcPr>
            <w:tcW w:type="dxa" w:w="1440"/>
          </w:tcPr>
          <w:p>
            <w:r>
              <w:rPr>
                <w:b/>
                <w:sz w:val="18"/>
              </w:rPr>
              <w:t>Recall</w:t>
            </w:r>
          </w:p>
        </w:tc>
        <w:tc>
          <w:tcPr>
            <w:tcW w:type="dxa" w:w="1440"/>
          </w:tcPr>
          <w:p>
            <w:r>
              <w:rPr>
                <w:b/>
                <w:sz w:val="18"/>
              </w:rPr>
              <w:t>F1</w:t>
            </w:r>
          </w:p>
        </w:tc>
        <w:tc>
          <w:tcPr>
            <w:tcW w:type="dxa" w:w="1440"/>
          </w:tcPr>
          <w:p>
            <w:r>
              <w:rPr>
                <w:b/>
                <w:sz w:val="18"/>
              </w:rPr>
              <w:t>N Predictions</w:t>
            </w:r>
          </w:p>
        </w:tc>
        <w:tc>
          <w:tcPr>
            <w:tcW w:type="dxa" w:w="1440"/>
          </w:tcPr>
          <w:p>
            <w:r>
              <w:rPr>
                <w:b/>
                <w:sz w:val="18"/>
              </w:rPr>
              <w:t>Mean CAR (Pred +)</w:t>
            </w:r>
          </w:p>
        </w:tc>
      </w:tr>
      <w:tr>
        <w:tc>
          <w:tcPr>
            <w:tcW w:type="dxa" w:w="1440"/>
          </w:tcPr>
          <w:p>
            <w:r>
              <w:rPr>
                <w:sz w:val="18"/>
              </w:rPr>
              <w:t>0.50</w:t>
            </w:r>
          </w:p>
        </w:tc>
        <w:tc>
          <w:tcPr>
            <w:tcW w:type="dxa" w:w="1440"/>
          </w:tcPr>
          <w:p>
            <w:r>
              <w:rPr>
                <w:sz w:val="18"/>
              </w:rPr>
              <w:t>0.470</w:t>
            </w:r>
          </w:p>
        </w:tc>
        <w:tc>
          <w:tcPr>
            <w:tcW w:type="dxa" w:w="1440"/>
          </w:tcPr>
          <w:p>
            <w:r>
              <w:rPr>
                <w:sz w:val="18"/>
              </w:rPr>
              <w:t>0.514</w:t>
            </w:r>
          </w:p>
        </w:tc>
        <w:tc>
          <w:tcPr>
            <w:tcW w:type="dxa" w:w="1440"/>
          </w:tcPr>
          <w:p>
            <w:r>
              <w:rPr>
                <w:sz w:val="18"/>
              </w:rPr>
              <w:t>0.491</w:t>
            </w:r>
          </w:p>
        </w:tc>
        <w:tc>
          <w:tcPr>
            <w:tcW w:type="dxa" w:w="1440"/>
          </w:tcPr>
          <w:p>
            <w:r>
              <w:rPr>
                <w:sz w:val="18"/>
              </w:rPr>
              <w:t>1,472</w:t>
            </w:r>
          </w:p>
        </w:tc>
        <w:tc>
          <w:tcPr>
            <w:tcW w:type="dxa" w:w="1440"/>
          </w:tcPr>
          <w:p>
            <w:r>
              <w:rPr>
                <w:sz w:val="18"/>
              </w:rPr>
              <w:t>-0.0205</w:t>
            </w:r>
          </w:p>
        </w:tc>
      </w:tr>
      <w:tr>
        <w:tc>
          <w:tcPr>
            <w:tcW w:type="dxa" w:w="1440"/>
          </w:tcPr>
          <w:p>
            <w:r>
              <w:rPr>
                <w:sz w:val="18"/>
              </w:rPr>
              <w:t>0.55</w:t>
            </w:r>
          </w:p>
        </w:tc>
        <w:tc>
          <w:tcPr>
            <w:tcW w:type="dxa" w:w="1440"/>
          </w:tcPr>
          <w:p>
            <w:r>
              <w:rPr>
                <w:sz w:val="18"/>
              </w:rPr>
              <w:t>0.458</w:t>
            </w:r>
          </w:p>
        </w:tc>
        <w:tc>
          <w:tcPr>
            <w:tcW w:type="dxa" w:w="1440"/>
          </w:tcPr>
          <w:p>
            <w:r>
              <w:rPr>
                <w:sz w:val="18"/>
              </w:rPr>
              <w:t>0.440</w:t>
            </w:r>
          </w:p>
        </w:tc>
        <w:tc>
          <w:tcPr>
            <w:tcW w:type="dxa" w:w="1440"/>
          </w:tcPr>
          <w:p>
            <w:r>
              <w:rPr>
                <w:sz w:val="18"/>
              </w:rPr>
              <w:t>0.449</w:t>
            </w:r>
          </w:p>
        </w:tc>
        <w:tc>
          <w:tcPr>
            <w:tcW w:type="dxa" w:w="1440"/>
          </w:tcPr>
          <w:p>
            <w:r>
              <w:rPr>
                <w:sz w:val="18"/>
              </w:rPr>
              <w:t>1,296</w:t>
            </w:r>
          </w:p>
        </w:tc>
        <w:tc>
          <w:tcPr>
            <w:tcW w:type="dxa" w:w="1440"/>
          </w:tcPr>
          <w:p>
            <w:r>
              <w:rPr>
                <w:sz w:val="18"/>
              </w:rPr>
              <w:t>-0.0229</w:t>
            </w:r>
          </w:p>
        </w:tc>
      </w:tr>
      <w:tr>
        <w:tc>
          <w:tcPr>
            <w:tcW w:type="dxa" w:w="1440"/>
          </w:tcPr>
          <w:p>
            <w:r>
              <w:rPr>
                <w:sz w:val="18"/>
              </w:rPr>
              <w:t>0.60</w:t>
            </w:r>
          </w:p>
        </w:tc>
        <w:tc>
          <w:tcPr>
            <w:tcW w:type="dxa" w:w="1440"/>
          </w:tcPr>
          <w:p>
            <w:r>
              <w:rPr>
                <w:sz w:val="18"/>
              </w:rPr>
              <w:t>0.464</w:t>
            </w:r>
          </w:p>
        </w:tc>
        <w:tc>
          <w:tcPr>
            <w:tcW w:type="dxa" w:w="1440"/>
          </w:tcPr>
          <w:p>
            <w:r>
              <w:rPr>
                <w:sz w:val="18"/>
              </w:rPr>
              <w:t>0.373</w:t>
            </w:r>
          </w:p>
        </w:tc>
        <w:tc>
          <w:tcPr>
            <w:tcW w:type="dxa" w:w="1440"/>
          </w:tcPr>
          <w:p>
            <w:r>
              <w:rPr>
                <w:sz w:val="18"/>
              </w:rPr>
              <w:t>0.413</w:t>
            </w:r>
          </w:p>
        </w:tc>
        <w:tc>
          <w:tcPr>
            <w:tcW w:type="dxa" w:w="1440"/>
          </w:tcPr>
          <w:p>
            <w:r>
              <w:rPr>
                <w:sz w:val="18"/>
              </w:rPr>
              <w:t>1,083</w:t>
            </w:r>
          </w:p>
        </w:tc>
        <w:tc>
          <w:tcPr>
            <w:tcW w:type="dxa" w:w="1440"/>
          </w:tcPr>
          <w:p>
            <w:r>
              <w:rPr>
                <w:sz w:val="18"/>
              </w:rPr>
              <w:t>-0.0197</w:t>
            </w:r>
          </w:p>
        </w:tc>
      </w:tr>
      <w:tr>
        <w:tc>
          <w:tcPr>
            <w:tcW w:type="dxa" w:w="1440"/>
          </w:tcPr>
          <w:p>
            <w:r>
              <w:rPr>
                <w:sz w:val="18"/>
              </w:rPr>
              <w:t>0.65</w:t>
            </w:r>
          </w:p>
        </w:tc>
        <w:tc>
          <w:tcPr>
            <w:tcW w:type="dxa" w:w="1440"/>
          </w:tcPr>
          <w:p>
            <w:r>
              <w:rPr>
                <w:sz w:val="18"/>
              </w:rPr>
              <w:t>0.465</w:t>
            </w:r>
          </w:p>
        </w:tc>
        <w:tc>
          <w:tcPr>
            <w:tcW w:type="dxa" w:w="1440"/>
          </w:tcPr>
          <w:p>
            <w:r>
              <w:rPr>
                <w:sz w:val="18"/>
              </w:rPr>
              <w:t>0.309</w:t>
            </w:r>
          </w:p>
        </w:tc>
        <w:tc>
          <w:tcPr>
            <w:tcW w:type="dxa" w:w="1440"/>
          </w:tcPr>
          <w:p>
            <w:r>
              <w:rPr>
                <w:sz w:val="18"/>
              </w:rPr>
              <w:t>0.371</w:t>
            </w:r>
          </w:p>
        </w:tc>
        <w:tc>
          <w:tcPr>
            <w:tcW w:type="dxa" w:w="1440"/>
          </w:tcPr>
          <w:p>
            <w:r>
              <w:rPr>
                <w:sz w:val="18"/>
              </w:rPr>
              <w:t>894</w:t>
            </w:r>
          </w:p>
        </w:tc>
        <w:tc>
          <w:tcPr>
            <w:tcW w:type="dxa" w:w="1440"/>
          </w:tcPr>
          <w:p>
            <w:r>
              <w:rPr>
                <w:sz w:val="18"/>
              </w:rPr>
              <w:t>-0.0197</w:t>
            </w:r>
          </w:p>
        </w:tc>
      </w:tr>
      <w:tr>
        <w:tc>
          <w:tcPr>
            <w:tcW w:type="dxa" w:w="1440"/>
          </w:tcPr>
          <w:p>
            <w:r>
              <w:rPr>
                <w:sz w:val="18"/>
              </w:rPr>
              <w:t>0.70</w:t>
            </w:r>
          </w:p>
        </w:tc>
        <w:tc>
          <w:tcPr>
            <w:tcW w:type="dxa" w:w="1440"/>
          </w:tcPr>
          <w:p>
            <w:r>
              <w:rPr>
                <w:sz w:val="18"/>
              </w:rPr>
              <w:t>0.466</w:t>
            </w:r>
          </w:p>
        </w:tc>
        <w:tc>
          <w:tcPr>
            <w:tcW w:type="dxa" w:w="1440"/>
          </w:tcPr>
          <w:p>
            <w:r>
              <w:rPr>
                <w:sz w:val="18"/>
              </w:rPr>
              <w:t>0.257</w:t>
            </w:r>
          </w:p>
        </w:tc>
        <w:tc>
          <w:tcPr>
            <w:tcW w:type="dxa" w:w="1440"/>
          </w:tcPr>
          <w:p>
            <w:r>
              <w:rPr>
                <w:sz w:val="18"/>
              </w:rPr>
              <w:t>0.331</w:t>
            </w:r>
          </w:p>
        </w:tc>
        <w:tc>
          <w:tcPr>
            <w:tcW w:type="dxa" w:w="1440"/>
          </w:tcPr>
          <w:p>
            <w:r>
              <w:rPr>
                <w:sz w:val="18"/>
              </w:rPr>
              <w:t>743</w:t>
            </w:r>
          </w:p>
        </w:tc>
        <w:tc>
          <w:tcPr>
            <w:tcW w:type="dxa" w:w="1440"/>
          </w:tcPr>
          <w:p>
            <w:r>
              <w:rPr>
                <w:sz w:val="18"/>
              </w:rPr>
              <w:t>-0.0207</w:t>
            </w:r>
          </w:p>
        </w:tc>
      </w:tr>
    </w:tbl>
    <w:p>
      <w:r>
        <w:rPr>
          <w:i/>
          <w:sz w:val="20"/>
        </w:rPr>
        <w:t>Precision is the fraction of predicted positives that actually beat the market. At threshold 0.60 the model offers a balance between coverage (recall) and accuracy (precision). The mean CAR of predicted positives is the key figure: any value meaningfully above the test-set baseline indicates genuine lift.</w:t>
      </w:r>
    </w:p>
    <w:p/>
    <w:p>
      <w:pPr>
        <w:pStyle w:val="Heading2"/>
        <w:jc w:val="left"/>
      </w:pPr>
      <w:r>
        <w:t>3c. Confusion Matrix (threshold = 0.6)</w:t>
      </w:r>
    </w:p>
    <w:p>
      <w:r>
        <w:rPr>
          <w:sz w:val="20"/>
        </w:rPr>
        <w:t>At the default threshold of 0.6, the confusion matrix below shows the counts of true positives, false positives, true negatives, and false negatives on the test set. A high false-positive count is costly in practical terms (investing in trades that underperform); false negatives represent missed opportunities.</w:t>
      </w:r>
    </w:p>
    <w:p/>
    <w:p>
      <w:r>
        <w:drawing>
          <wp:inline xmlns:a="http://schemas.openxmlformats.org/drawingml/2006/main" xmlns:pic="http://schemas.openxmlformats.org/drawingml/2006/picture">
            <wp:extent cx="3474720" cy="268436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474720" cy="2684364"/>
                    </a:xfrm>
                    <a:prstGeom prst="rect"/>
                  </pic:spPr>
                </pic:pic>
              </a:graphicData>
            </a:graphic>
          </wp:inline>
        </w:drawing>
      </w:r>
    </w:p>
    <w:p>
      <w:pPr>
        <w:pStyle w:val="Heading2"/>
        <w:jc w:val="left"/>
      </w:pPr>
      <w:r>
        <w:t>3d. $100-per-Trade Cumulative Return Simulation</w:t>
      </w:r>
    </w:p>
    <w:p>
      <w:r>
        <w:rPr>
          <w:sz w:val="20"/>
        </w:rPr>
        <w:t>To put model performance in practical context, the simulation below assumes an investor places $100 into each trade flagged as positive by the model (threshold = 0.6), or $100 into every purchase for the naive baseline. The y-axis shows cumulative total receipts (principal + return) as trades are entered in chronological order through the test set. The SPY benchmark invests $100 on each of the same trade dates and measures the 12-month forward return on the S&amp;P 500 ETF, providing a like-for-like comparison against a passive index strategy.</w:t>
      </w:r>
    </w:p>
    <w:p/>
    <w:p>
      <w:r>
        <w:drawing>
          <wp:inline xmlns:a="http://schemas.openxmlformats.org/drawingml/2006/main" xmlns:pic="http://schemas.openxmlformats.org/drawingml/2006/picture">
            <wp:extent cx="5943600" cy="226701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267017"/>
                    </a:xfrm>
                    <a:prstGeom prst="rect"/>
                  </pic:spPr>
                </pic:pic>
              </a:graphicData>
            </a:graphic>
          </wp:inline>
        </w:drawing>
      </w:r>
    </w:p>
    <w:p>
      <w:r>
        <w:rPr>
          <w:i/>
          <w:sz w:val="20"/>
        </w:rPr>
        <w:t>The model selected 1,083 trades (35.8% of the test set), investing $108,300 for a final cumulative value of $106,163 (return: -2.0%). The naive baseline invested $302,500 across all 3,025 test purchases and accumulated $292,153 (return: -3.4%). Interpret with caution: this simulation assumes no transaction costs, full execution at filing date, and no position-size constraints.</w:t>
      </w:r>
    </w:p>
    <w:p>
      <w:r>
        <w:br w:type="page"/>
      </w:r>
    </w:p>
    <w:p>
      <w:pPr>
        <w:pStyle w:val="Heading1"/>
        <w:jc w:val="left"/>
      </w:pPr>
      <w:r>
        <w:t>4. Predicted Positive Ticker Analysis</w:t>
      </w:r>
    </w:p>
    <w:p>
      <w:r>
        <w:rPr>
          <w:sz w:val="20"/>
        </w:rPr>
        <w:t>This section examines which stocks the model most frequently identifies as likely outperformers, and whether those predictions are actually correct. Concentration in a small number of tickers could indicate the model has learned issuer-specific patterns (e.g. a politician who consistently trades one stock well) rather than generalisable signals. Sector-level analysis reveals whether the model overweights certain industries.</w:t>
      </w:r>
    </w:p>
    <w:p/>
    <w:p>
      <w:pPr>
        <w:pStyle w:val="Heading2"/>
        <w:jc w:val="left"/>
      </w:pPr>
      <w:r>
        <w:t>Top 20 Tickers Most Frequently Predicted Positive</w:t>
      </w:r>
    </w:p>
    <w:p>
      <w:r>
        <w:rPr>
          <w:sz w:val="20"/>
        </w:rPr>
        <w:t>Each bar represents the count of test-set trades where the model predicted positive for that ticker. The orange line (right axis) shows the actual mean realized CAR for those predicted trades. Tickers with many predictions but a negative mean CAR are systematically false-positived by the model.</w:t>
      </w:r>
    </w:p>
    <w:p/>
    <w:p>
      <w:r>
        <w:drawing>
          <wp:inline xmlns:a="http://schemas.openxmlformats.org/drawingml/2006/main" xmlns:pic="http://schemas.openxmlformats.org/drawingml/2006/picture">
            <wp:extent cx="5943600" cy="266795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667950"/>
                    </a:xfrm>
                    <a:prstGeom prst="rect"/>
                  </pic:spPr>
                </pic:pic>
              </a:graphicData>
            </a:graphic>
          </wp:inline>
        </w:drawing>
      </w:r>
    </w:p>
    <w:p>
      <w:pPr>
        <w:pStyle w:val="Heading2"/>
        <w:jc w:val="left"/>
      </w:pPr>
      <w:r>
        <w:t>Sector Distribution: Predicted Positives vs All Test Trades</w:t>
      </w:r>
    </w:p>
    <w:p>
      <w:r>
        <w:rPr>
          <w:sz w:val="20"/>
        </w:rPr>
        <w:t>If the model's predicted positives mirror the sector distribution of all test trades, it is sector-agnostic. Deviations show sector tilt — whether by design (committee-linked sectors genuinely outperform) or by overfitting to historical sector cycles within the training window.</w:t>
      </w:r>
    </w:p>
    <w:p/>
    <w:p>
      <w:r>
        <w:drawing>
          <wp:inline xmlns:a="http://schemas.openxmlformats.org/drawingml/2006/main" xmlns:pic="http://schemas.openxmlformats.org/drawingml/2006/picture">
            <wp:extent cx="5943600" cy="239621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396214"/>
                    </a:xfrm>
                    <a:prstGeom prst="rect"/>
                  </pic:spPr>
                </pic:pic>
              </a:graphicData>
            </a:graphic>
          </wp:inline>
        </w:drawing>
      </w:r>
    </w:p>
    <w:p>
      <w:pPr>
        <w:pStyle w:val="Heading2"/>
        <w:jc w:val="left"/>
      </w:pPr>
      <w:r>
        <w:t>Predicted Probability vs Actual CAR (TP / FP)</w:t>
      </w:r>
    </w:p>
    <w:p>
      <w:r>
        <w:rPr>
          <w:sz w:val="20"/>
        </w:rPr>
        <w:t>Each point is a trade predicted positive by the model. Green points (TP) are trades that actually beat the market; red points (FP) did not. A well-calibrated model should show green points more densely at high probabilities and more red points at lower probabilities just above the 0.6 cut-off. The horizontal dashed line marks CAR = 0.</w:t>
      </w:r>
    </w:p>
    <w:p/>
    <w:p>
      <w:r>
        <w:drawing>
          <wp:inline xmlns:a="http://schemas.openxmlformats.org/drawingml/2006/main" xmlns:pic="http://schemas.openxmlformats.org/drawingml/2006/picture">
            <wp:extent cx="5029200" cy="35772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577200"/>
                    </a:xfrm>
                    <a:prstGeom prst="rect"/>
                  </pic:spPr>
                </pic:pic>
              </a:graphicData>
            </a:graphic>
          </wp:inline>
        </w:drawing>
      </w:r>
    </w:p>
    <w:p>
      <w:r>
        <w:br w:type="page"/>
      </w:r>
    </w:p>
    <w:p>
      <w:pPr>
        <w:pStyle w:val="Heading1"/>
        <w:jc w:val="left"/>
      </w:pPr>
      <w:r>
        <w:t>5. Error Analysis</w:t>
      </w:r>
    </w:p>
    <w:p>
      <w:r>
        <w:rPr>
          <w:sz w:val="20"/>
        </w:rPr>
        <w:t>Understanding when and why the model makes mistakes is critical for improving it. This section compares the average feature values for true positives (TP), false positives (FP), true negatives (TN), and false negatives (FN). Features where TP mean &gt;&gt; FP mean are those where the model partially uses the right signal but may need a stronger threshold. Features where FN mean &gt;&gt; TN mean are the ones the model is failing to exploit for the missed positive trades.</w:t>
      </w:r>
    </w:p>
    <w:p/>
    <w:p>
      <w:pPr>
        <w:pStyle w:val="Heading2"/>
        <w:jc w:val="left"/>
      </w:pPr>
      <w:r>
        <w:t>False Positive vs True Positive — Feature Means</w:t>
      </w:r>
    </w:p>
    <w:p>
      <w:r>
        <w:rPr>
          <w:sz w:val="20"/>
        </w:rPr>
        <w:t>N True Positives: 502   |   N False Positives: 581  (threshold = 0.6). A positive 'TP − FP' difference means true positives score higher on that feature. Negative differences reveal features where false positives are unexpectedly high — potential sources of model confusion.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TP Mean</w:t>
            </w:r>
          </w:p>
        </w:tc>
        <w:tc>
          <w:tcPr>
            <w:tcW w:type="dxa" w:w="2160"/>
          </w:tcPr>
          <w:p>
            <w:r>
              <w:rPr>
                <w:b/>
                <w:sz w:val="18"/>
              </w:rPr>
              <w:t>FP Mean</w:t>
            </w:r>
          </w:p>
        </w:tc>
        <w:tc>
          <w:tcPr>
            <w:tcW w:type="dxa" w:w="2160"/>
          </w:tcPr>
          <w:p>
            <w:r>
              <w:rPr>
                <w:b/>
                <w:sz w:val="18"/>
              </w:rPr>
              <w:t>TP − FP</w:t>
            </w:r>
          </w:p>
        </w:tc>
      </w:tr>
      <w:tr>
        <w:tc>
          <w:tcPr>
            <w:tcW w:type="dxa" w:w="2160"/>
          </w:tcPr>
          <w:p>
            <w:r>
              <w:rPr>
                <w:sz w:val="18"/>
              </w:rPr>
              <w:t>log_trade_size</w:t>
            </w:r>
          </w:p>
        </w:tc>
        <w:tc>
          <w:tcPr>
            <w:tcW w:type="dxa" w:w="2160"/>
          </w:tcPr>
          <w:p>
            <w:r>
              <w:rPr>
                <w:sz w:val="18"/>
              </w:rPr>
              <w:t>7.4584</w:t>
            </w:r>
          </w:p>
        </w:tc>
        <w:tc>
          <w:tcPr>
            <w:tcW w:type="dxa" w:w="2160"/>
          </w:tcPr>
          <w:p>
            <w:r>
              <w:rPr>
                <w:sz w:val="18"/>
              </w:rPr>
              <w:t>7.5096</w:t>
            </w:r>
          </w:p>
        </w:tc>
        <w:tc>
          <w:tcPr>
            <w:tcW w:type="dxa" w:w="2160"/>
          </w:tcPr>
          <w:p>
            <w:r>
              <w:rPr>
                <w:sz w:val="18"/>
              </w:rPr>
              <w:t>-0.0512</w:t>
            </w:r>
          </w:p>
        </w:tc>
      </w:tr>
      <w:tr>
        <w:tc>
          <w:tcPr>
            <w:tcW w:type="dxa" w:w="2160"/>
          </w:tcPr>
          <w:p>
            <w:r>
              <w:rPr>
                <w:sz w:val="18"/>
              </w:rPr>
              <w:t>car_traded_to_filed</w:t>
            </w:r>
          </w:p>
        </w:tc>
        <w:tc>
          <w:tcPr>
            <w:tcW w:type="dxa" w:w="2160"/>
          </w:tcPr>
          <w:p>
            <w:r>
              <w:rPr>
                <w:sz w:val="18"/>
              </w:rPr>
              <w:t>0.0026</w:t>
            </w:r>
          </w:p>
        </w:tc>
        <w:tc>
          <w:tcPr>
            <w:tcW w:type="dxa" w:w="2160"/>
          </w:tcPr>
          <w:p>
            <w:r>
              <w:rPr>
                <w:sz w:val="18"/>
              </w:rPr>
              <w:t>-0.0058</w:t>
            </w:r>
          </w:p>
        </w:tc>
        <w:tc>
          <w:tcPr>
            <w:tcW w:type="dxa" w:w="2160"/>
          </w:tcPr>
          <w:p>
            <w:r>
              <w:rPr>
                <w:sz w:val="18"/>
              </w:rPr>
              <w:t>0.0084</w:t>
            </w:r>
          </w:p>
        </w:tc>
      </w:tr>
      <w:tr>
        <w:tc>
          <w:tcPr>
            <w:tcW w:type="dxa" w:w="2160"/>
          </w:tcPr>
          <w:p>
            <w:r>
              <w:rPr>
                <w:sz w:val="18"/>
              </w:rPr>
              <w:t>politician_trades_last_year</w:t>
            </w:r>
          </w:p>
        </w:tc>
        <w:tc>
          <w:tcPr>
            <w:tcW w:type="dxa" w:w="2160"/>
          </w:tcPr>
          <w:p>
            <w:r>
              <w:rPr>
                <w:sz w:val="18"/>
              </w:rPr>
              <w:t>59.8785</w:t>
            </w:r>
          </w:p>
        </w:tc>
        <w:tc>
          <w:tcPr>
            <w:tcW w:type="dxa" w:w="2160"/>
          </w:tcPr>
          <w:p>
            <w:r>
              <w:rPr>
                <w:sz w:val="18"/>
              </w:rPr>
              <w:t>61.0465</w:t>
            </w:r>
          </w:p>
        </w:tc>
        <w:tc>
          <w:tcPr>
            <w:tcW w:type="dxa" w:w="2160"/>
          </w:tcPr>
          <w:p>
            <w:r>
              <w:rPr>
                <w:sz w:val="18"/>
              </w:rPr>
              <w:t>-1.168</w:t>
            </w:r>
          </w:p>
        </w:tc>
      </w:tr>
      <w:tr>
        <w:tc>
          <w:tcPr>
            <w:tcW w:type="dxa" w:w="2160"/>
          </w:tcPr>
          <w:p>
            <w:r>
              <w:rPr>
                <w:sz w:val="18"/>
              </w:rPr>
              <w:t>politician_hit_rate_past</w:t>
            </w:r>
          </w:p>
        </w:tc>
        <w:tc>
          <w:tcPr>
            <w:tcW w:type="dxa" w:w="2160"/>
          </w:tcPr>
          <w:p>
            <w:r>
              <w:rPr>
                <w:sz w:val="18"/>
              </w:rPr>
              <w:t>0.3308</w:t>
            </w:r>
          </w:p>
        </w:tc>
        <w:tc>
          <w:tcPr>
            <w:tcW w:type="dxa" w:w="2160"/>
          </w:tcPr>
          <w:p>
            <w:r>
              <w:rPr>
                <w:sz w:val="18"/>
              </w:rPr>
              <w:t>0.2936</w:t>
            </w:r>
          </w:p>
        </w:tc>
        <w:tc>
          <w:tcPr>
            <w:tcW w:type="dxa" w:w="2160"/>
          </w:tcPr>
          <w:p>
            <w:r>
              <w:rPr>
                <w:sz w:val="18"/>
              </w:rPr>
              <w:t>0.0372</w:t>
            </w:r>
          </w:p>
        </w:tc>
      </w:tr>
      <w:tr>
        <w:tc>
          <w:tcPr>
            <w:tcW w:type="dxa" w:w="2160"/>
          </w:tcPr>
          <w:p>
            <w:r>
              <w:rPr>
                <w:sz w:val="18"/>
              </w:rPr>
              <w:t>politician_mean_car_past</w:t>
            </w:r>
          </w:p>
        </w:tc>
        <w:tc>
          <w:tcPr>
            <w:tcW w:type="dxa" w:w="2160"/>
          </w:tcPr>
          <w:p>
            <w:r>
              <w:rPr>
                <w:sz w:val="18"/>
              </w:rPr>
              <w:t>-0.0331</w:t>
            </w:r>
          </w:p>
        </w:tc>
        <w:tc>
          <w:tcPr>
            <w:tcW w:type="dxa" w:w="2160"/>
          </w:tcPr>
          <w:p>
            <w:r>
              <w:rPr>
                <w:sz w:val="18"/>
              </w:rPr>
              <w:t>-0.0297</w:t>
            </w:r>
          </w:p>
        </w:tc>
        <w:tc>
          <w:tcPr>
            <w:tcW w:type="dxa" w:w="2160"/>
          </w:tcPr>
          <w:p>
            <w:r>
              <w:rPr>
                <w:sz w:val="18"/>
              </w:rPr>
              <w:t>-0.0034</w:t>
            </w:r>
          </w:p>
        </w:tc>
      </w:tr>
      <w:tr>
        <w:tc>
          <w:tcPr>
            <w:tcW w:type="dxa" w:w="2160"/>
          </w:tcPr>
          <w:p>
            <w:r>
              <w:rPr>
                <w:sz w:val="18"/>
              </w:rPr>
              <w:t>politician_mean_realized_car_past</w:t>
            </w:r>
          </w:p>
        </w:tc>
        <w:tc>
          <w:tcPr>
            <w:tcW w:type="dxa" w:w="2160"/>
          </w:tcPr>
          <w:p>
            <w:r>
              <w:rPr>
                <w:sz w:val="18"/>
              </w:rPr>
              <w:t>-0.0937</w:t>
            </w:r>
          </w:p>
        </w:tc>
        <w:tc>
          <w:tcPr>
            <w:tcW w:type="dxa" w:w="2160"/>
          </w:tcPr>
          <w:p>
            <w:r>
              <w:rPr>
                <w:sz w:val="18"/>
              </w:rPr>
              <w:t>-0.0913</w:t>
            </w:r>
          </w:p>
        </w:tc>
        <w:tc>
          <w:tcPr>
            <w:tcW w:type="dxa" w:w="2160"/>
          </w:tcPr>
          <w:p>
            <w:r>
              <w:rPr>
                <w:sz w:val="18"/>
              </w:rPr>
              <w:t>-0.0024</w:t>
            </w:r>
          </w:p>
        </w:tc>
      </w:tr>
      <w:tr>
        <w:tc>
          <w:tcPr>
            <w:tcW w:type="dxa" w:w="2160"/>
          </w:tcPr>
          <w:p>
            <w:r>
              <w:rPr>
                <w:sz w:val="18"/>
              </w:rPr>
              <w:t>stock_momentum_90d</w:t>
            </w:r>
          </w:p>
        </w:tc>
        <w:tc>
          <w:tcPr>
            <w:tcW w:type="dxa" w:w="2160"/>
          </w:tcPr>
          <w:p>
            <w:r>
              <w:rPr>
                <w:sz w:val="18"/>
              </w:rPr>
              <w:t>0.0216</w:t>
            </w:r>
          </w:p>
        </w:tc>
        <w:tc>
          <w:tcPr>
            <w:tcW w:type="dxa" w:w="2160"/>
          </w:tcPr>
          <w:p>
            <w:r>
              <w:rPr>
                <w:sz w:val="18"/>
              </w:rPr>
              <w:t>0.031</w:t>
            </w:r>
          </w:p>
        </w:tc>
        <w:tc>
          <w:tcPr>
            <w:tcW w:type="dxa" w:w="2160"/>
          </w:tcPr>
          <w:p>
            <w:r>
              <w:rPr>
                <w:sz w:val="18"/>
              </w:rPr>
              <w:t>-0.0094</w:t>
            </w:r>
          </w:p>
        </w:tc>
      </w:tr>
      <w:tr>
        <w:tc>
          <w:tcPr>
            <w:tcW w:type="dxa" w:w="2160"/>
          </w:tcPr>
          <w:p>
            <w:r>
              <w:rPr>
                <w:sz w:val="18"/>
              </w:rPr>
              <w:t>stock_volatility_30d</w:t>
            </w:r>
          </w:p>
        </w:tc>
        <w:tc>
          <w:tcPr>
            <w:tcW w:type="dxa" w:w="2160"/>
          </w:tcPr>
          <w:p>
            <w:r>
              <w:rPr>
                <w:sz w:val="18"/>
              </w:rPr>
              <w:t>0.0183</w:t>
            </w:r>
          </w:p>
        </w:tc>
        <w:tc>
          <w:tcPr>
            <w:tcW w:type="dxa" w:w="2160"/>
          </w:tcPr>
          <w:p>
            <w:r>
              <w:rPr>
                <w:sz w:val="18"/>
              </w:rPr>
              <w:t>0.018</w:t>
            </w:r>
          </w:p>
        </w:tc>
        <w:tc>
          <w:tcPr>
            <w:tcW w:type="dxa" w:w="2160"/>
          </w:tcPr>
          <w:p>
            <w:r>
              <w:rPr>
                <w:sz w:val="18"/>
              </w:rPr>
              <w:t>0.0003</w:t>
            </w:r>
          </w:p>
        </w:tc>
      </w:tr>
      <w:tr>
        <w:tc>
          <w:tcPr>
            <w:tcW w:type="dxa" w:w="2160"/>
          </w:tcPr>
          <w:p>
            <w:r>
              <w:rPr>
                <w:sz w:val="18"/>
              </w:rPr>
              <w:t>beta</w:t>
            </w:r>
          </w:p>
        </w:tc>
        <w:tc>
          <w:tcPr>
            <w:tcW w:type="dxa" w:w="2160"/>
          </w:tcPr>
          <w:p>
            <w:r>
              <w:rPr>
                <w:sz w:val="18"/>
              </w:rPr>
              <w:t>0.9774</w:t>
            </w:r>
          </w:p>
        </w:tc>
        <w:tc>
          <w:tcPr>
            <w:tcW w:type="dxa" w:w="2160"/>
          </w:tcPr>
          <w:p>
            <w:r>
              <w:rPr>
                <w:sz w:val="18"/>
              </w:rPr>
              <w:t>1.0683</w:t>
            </w:r>
          </w:p>
        </w:tc>
        <w:tc>
          <w:tcPr>
            <w:tcW w:type="dxa" w:w="2160"/>
          </w:tcPr>
          <w:p>
            <w:r>
              <w:rPr>
                <w:sz w:val="18"/>
              </w:rPr>
              <w:t>-0.0909</w:t>
            </w:r>
          </w:p>
        </w:tc>
      </w:tr>
      <w:tr>
        <w:tc>
          <w:tcPr>
            <w:tcW w:type="dxa" w:w="2160"/>
          </w:tcPr>
          <w:p>
            <w:r>
              <w:rPr>
                <w:sz w:val="18"/>
              </w:rPr>
              <w:t>max_committee_rank</w:t>
            </w:r>
          </w:p>
        </w:tc>
        <w:tc>
          <w:tcPr>
            <w:tcW w:type="dxa" w:w="2160"/>
          </w:tcPr>
          <w:p>
            <w:r>
              <w:rPr>
                <w:sz w:val="18"/>
              </w:rPr>
              <w:t>80.0219</w:t>
            </w:r>
          </w:p>
        </w:tc>
        <w:tc>
          <w:tcPr>
            <w:tcW w:type="dxa" w:w="2160"/>
          </w:tcPr>
          <w:p>
            <w:r>
              <w:rPr>
                <w:sz w:val="18"/>
              </w:rPr>
              <w:t>129.864</w:t>
            </w:r>
          </w:p>
        </w:tc>
        <w:tc>
          <w:tcPr>
            <w:tcW w:type="dxa" w:w="2160"/>
          </w:tcPr>
          <w:p>
            <w:r>
              <w:rPr>
                <w:sz w:val="18"/>
              </w:rPr>
              <w:t>-49.8421</w:t>
            </w:r>
          </w:p>
        </w:tc>
      </w:tr>
      <w:tr>
        <w:tc>
          <w:tcPr>
            <w:tcW w:type="dxa" w:w="2160"/>
          </w:tcPr>
          <w:p>
            <w:r>
              <w:rPr>
                <w:sz w:val="18"/>
              </w:rPr>
              <w:t>all_pol_sells_same_ticker_30d</w:t>
            </w:r>
          </w:p>
        </w:tc>
        <w:tc>
          <w:tcPr>
            <w:tcW w:type="dxa" w:w="2160"/>
          </w:tcPr>
          <w:p>
            <w:r>
              <w:rPr>
                <w:sz w:val="18"/>
              </w:rPr>
              <w:t>0.6434</w:t>
            </w:r>
          </w:p>
        </w:tc>
        <w:tc>
          <w:tcPr>
            <w:tcW w:type="dxa" w:w="2160"/>
          </w:tcPr>
          <w:p>
            <w:r>
              <w:rPr>
                <w:sz w:val="18"/>
              </w:rPr>
              <w:t>0.5852</w:t>
            </w:r>
          </w:p>
        </w:tc>
        <w:tc>
          <w:tcPr>
            <w:tcW w:type="dxa" w:w="2160"/>
          </w:tcPr>
          <w:p>
            <w:r>
              <w:rPr>
                <w:sz w:val="18"/>
              </w:rPr>
              <w:t>0.0582</w:t>
            </w:r>
          </w:p>
        </w:tc>
      </w:tr>
      <w:tr>
        <w:tc>
          <w:tcPr>
            <w:tcW w:type="dxa" w:w="2160"/>
          </w:tcPr>
          <w:p>
            <w:r>
              <w:rPr>
                <w:sz w:val="18"/>
              </w:rPr>
              <w:t>n_committees</w:t>
            </w:r>
          </w:p>
        </w:tc>
        <w:tc>
          <w:tcPr>
            <w:tcW w:type="dxa" w:w="2160"/>
          </w:tcPr>
          <w:p>
            <w:r>
              <w:rPr>
                <w:sz w:val="18"/>
              </w:rPr>
              <w:t>2.3665</w:t>
            </w:r>
          </w:p>
        </w:tc>
        <w:tc>
          <w:tcPr>
            <w:tcW w:type="dxa" w:w="2160"/>
          </w:tcPr>
          <w:p>
            <w:r>
              <w:rPr>
                <w:sz w:val="18"/>
              </w:rPr>
              <w:t>2.0361</w:t>
            </w:r>
          </w:p>
        </w:tc>
        <w:tc>
          <w:tcPr>
            <w:tcW w:type="dxa" w:w="2160"/>
          </w:tcPr>
          <w:p>
            <w:r>
              <w:rPr>
                <w:sz w:val="18"/>
              </w:rPr>
              <w:t>0.3304</w:t>
            </w:r>
          </w:p>
        </w:tc>
      </w:tr>
      <w:tr>
        <w:tc>
          <w:tcPr>
            <w:tcW w:type="dxa" w:w="2160"/>
          </w:tcPr>
          <w:p>
            <w:r>
              <w:rPr>
                <w:sz w:val="18"/>
              </w:rPr>
              <w:t>ticker_prior_buys</w:t>
            </w:r>
          </w:p>
        </w:tc>
        <w:tc>
          <w:tcPr>
            <w:tcW w:type="dxa" w:w="2160"/>
          </w:tcPr>
          <w:p>
            <w:r>
              <w:rPr>
                <w:sz w:val="18"/>
              </w:rPr>
              <w:t>3.5737</w:t>
            </w:r>
          </w:p>
        </w:tc>
        <w:tc>
          <w:tcPr>
            <w:tcW w:type="dxa" w:w="2160"/>
          </w:tcPr>
          <w:p>
            <w:r>
              <w:rPr>
                <w:sz w:val="18"/>
              </w:rPr>
              <w:t>3.0499</w:t>
            </w:r>
          </w:p>
        </w:tc>
        <w:tc>
          <w:tcPr>
            <w:tcW w:type="dxa" w:w="2160"/>
          </w:tcPr>
          <w:p>
            <w:r>
              <w:rPr>
                <w:sz w:val="18"/>
              </w:rPr>
              <w:t>0.5238</w:t>
            </w:r>
          </w:p>
        </w:tc>
      </w:tr>
    </w:tbl>
    <w:p/>
    <w:p>
      <w:pPr>
        <w:pStyle w:val="Heading2"/>
        <w:jc w:val="left"/>
      </w:pPr>
      <w:r>
        <w:t>False Negative vs True Negative — Feature Means</w:t>
      </w:r>
    </w:p>
    <w:p>
      <w:r>
        <w:rPr>
          <w:sz w:val="20"/>
        </w:rPr>
        <w:t>N False Negatives: 845   |   N True Negatives: 1,097. False negatives are trades the model missed — trades that actually beat the market but were not flagged. A positive 'FN − TN' difference on a feature means that missed trades scored higher on that signal, suggesting the model may not be weighting it sufficiently for borderline cases.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FN Mean</w:t>
            </w:r>
          </w:p>
        </w:tc>
        <w:tc>
          <w:tcPr>
            <w:tcW w:type="dxa" w:w="2160"/>
          </w:tcPr>
          <w:p>
            <w:r>
              <w:rPr>
                <w:b/>
                <w:sz w:val="18"/>
              </w:rPr>
              <w:t>TN Mean</w:t>
            </w:r>
          </w:p>
        </w:tc>
        <w:tc>
          <w:tcPr>
            <w:tcW w:type="dxa" w:w="2160"/>
          </w:tcPr>
          <w:p>
            <w:r>
              <w:rPr>
                <w:b/>
                <w:sz w:val="18"/>
              </w:rPr>
              <w:t>FN − TN</w:t>
            </w:r>
          </w:p>
        </w:tc>
      </w:tr>
      <w:tr>
        <w:tc>
          <w:tcPr>
            <w:tcW w:type="dxa" w:w="2160"/>
          </w:tcPr>
          <w:p>
            <w:r>
              <w:rPr>
                <w:sz w:val="18"/>
              </w:rPr>
              <w:t>log_trade_size</w:t>
            </w:r>
          </w:p>
        </w:tc>
        <w:tc>
          <w:tcPr>
            <w:tcW w:type="dxa" w:w="2160"/>
          </w:tcPr>
          <w:p>
            <w:r>
              <w:rPr>
                <w:sz w:val="18"/>
              </w:rPr>
              <w:t>7.4077</w:t>
            </w:r>
          </w:p>
        </w:tc>
        <w:tc>
          <w:tcPr>
            <w:tcW w:type="dxa" w:w="2160"/>
          </w:tcPr>
          <w:p>
            <w:r>
              <w:rPr>
                <w:sz w:val="18"/>
              </w:rPr>
              <w:t>7.4857</w:t>
            </w:r>
          </w:p>
        </w:tc>
        <w:tc>
          <w:tcPr>
            <w:tcW w:type="dxa" w:w="2160"/>
          </w:tcPr>
          <w:p>
            <w:r>
              <w:rPr>
                <w:sz w:val="18"/>
              </w:rPr>
              <w:t>-0.078</w:t>
            </w:r>
          </w:p>
        </w:tc>
      </w:tr>
      <w:tr>
        <w:tc>
          <w:tcPr>
            <w:tcW w:type="dxa" w:w="2160"/>
          </w:tcPr>
          <w:p>
            <w:r>
              <w:rPr>
                <w:sz w:val="18"/>
              </w:rPr>
              <w:t>car_traded_to_filed</w:t>
            </w:r>
          </w:p>
        </w:tc>
        <w:tc>
          <w:tcPr>
            <w:tcW w:type="dxa" w:w="2160"/>
          </w:tcPr>
          <w:p>
            <w:r>
              <w:rPr>
                <w:sz w:val="18"/>
              </w:rPr>
              <w:t>0.004</w:t>
            </w:r>
          </w:p>
        </w:tc>
        <w:tc>
          <w:tcPr>
            <w:tcW w:type="dxa" w:w="2160"/>
          </w:tcPr>
          <w:p>
            <w:r>
              <w:rPr>
                <w:sz w:val="18"/>
              </w:rPr>
              <w:t>-0.0183</w:t>
            </w:r>
          </w:p>
        </w:tc>
        <w:tc>
          <w:tcPr>
            <w:tcW w:type="dxa" w:w="2160"/>
          </w:tcPr>
          <w:p>
            <w:r>
              <w:rPr>
                <w:sz w:val="18"/>
              </w:rPr>
              <w:t>0.0223</w:t>
            </w:r>
          </w:p>
        </w:tc>
      </w:tr>
      <w:tr>
        <w:tc>
          <w:tcPr>
            <w:tcW w:type="dxa" w:w="2160"/>
          </w:tcPr>
          <w:p>
            <w:r>
              <w:rPr>
                <w:sz w:val="18"/>
              </w:rPr>
              <w:t>politician_trades_last_year</w:t>
            </w:r>
          </w:p>
        </w:tc>
        <w:tc>
          <w:tcPr>
            <w:tcW w:type="dxa" w:w="2160"/>
          </w:tcPr>
          <w:p>
            <w:r>
              <w:rPr>
                <w:sz w:val="18"/>
              </w:rPr>
              <w:t>72.4959</w:t>
            </w:r>
          </w:p>
        </w:tc>
        <w:tc>
          <w:tcPr>
            <w:tcW w:type="dxa" w:w="2160"/>
          </w:tcPr>
          <w:p>
            <w:r>
              <w:rPr>
                <w:sz w:val="18"/>
              </w:rPr>
              <w:t>77.773</w:t>
            </w:r>
          </w:p>
        </w:tc>
        <w:tc>
          <w:tcPr>
            <w:tcW w:type="dxa" w:w="2160"/>
          </w:tcPr>
          <w:p>
            <w:r>
              <w:rPr>
                <w:sz w:val="18"/>
              </w:rPr>
              <w:t>-5.2771</w:t>
            </w:r>
          </w:p>
        </w:tc>
      </w:tr>
      <w:tr>
        <w:tc>
          <w:tcPr>
            <w:tcW w:type="dxa" w:w="2160"/>
          </w:tcPr>
          <w:p>
            <w:r>
              <w:rPr>
                <w:sz w:val="18"/>
              </w:rPr>
              <w:t>politician_hit_rate_past</w:t>
            </w:r>
          </w:p>
        </w:tc>
        <w:tc>
          <w:tcPr>
            <w:tcW w:type="dxa" w:w="2160"/>
          </w:tcPr>
          <w:p>
            <w:r>
              <w:rPr>
                <w:sz w:val="18"/>
              </w:rPr>
              <w:t>0.3029</w:t>
            </w:r>
          </w:p>
        </w:tc>
        <w:tc>
          <w:tcPr>
            <w:tcW w:type="dxa" w:w="2160"/>
          </w:tcPr>
          <w:p>
            <w:r>
              <w:rPr>
                <w:sz w:val="18"/>
              </w:rPr>
              <w:t>0.3164</w:t>
            </w:r>
          </w:p>
        </w:tc>
        <w:tc>
          <w:tcPr>
            <w:tcW w:type="dxa" w:w="2160"/>
          </w:tcPr>
          <w:p>
            <w:r>
              <w:rPr>
                <w:sz w:val="18"/>
              </w:rPr>
              <w:t>-0.0135</w:t>
            </w:r>
          </w:p>
        </w:tc>
      </w:tr>
      <w:tr>
        <w:tc>
          <w:tcPr>
            <w:tcW w:type="dxa" w:w="2160"/>
          </w:tcPr>
          <w:p>
            <w:r>
              <w:rPr>
                <w:sz w:val="18"/>
              </w:rPr>
              <w:t>politician_mean_car_past</w:t>
            </w:r>
          </w:p>
        </w:tc>
        <w:tc>
          <w:tcPr>
            <w:tcW w:type="dxa" w:w="2160"/>
          </w:tcPr>
          <w:p>
            <w:r>
              <w:rPr>
                <w:sz w:val="18"/>
              </w:rPr>
              <w:t>-0.0296</w:t>
            </w:r>
          </w:p>
        </w:tc>
        <w:tc>
          <w:tcPr>
            <w:tcW w:type="dxa" w:w="2160"/>
          </w:tcPr>
          <w:p>
            <w:r>
              <w:rPr>
                <w:sz w:val="18"/>
              </w:rPr>
              <w:t>-0.021</w:t>
            </w:r>
          </w:p>
        </w:tc>
        <w:tc>
          <w:tcPr>
            <w:tcW w:type="dxa" w:w="2160"/>
          </w:tcPr>
          <w:p>
            <w:r>
              <w:rPr>
                <w:sz w:val="18"/>
              </w:rPr>
              <w:t>-0.0086</w:t>
            </w:r>
          </w:p>
        </w:tc>
      </w:tr>
      <w:tr>
        <w:tc>
          <w:tcPr>
            <w:tcW w:type="dxa" w:w="2160"/>
          </w:tcPr>
          <w:p>
            <w:r>
              <w:rPr>
                <w:sz w:val="18"/>
              </w:rPr>
              <w:t>politician_mean_realized_car_past</w:t>
            </w:r>
          </w:p>
        </w:tc>
        <w:tc>
          <w:tcPr>
            <w:tcW w:type="dxa" w:w="2160"/>
          </w:tcPr>
          <w:p>
            <w:r>
              <w:rPr>
                <w:sz w:val="18"/>
              </w:rPr>
              <w:t>-0.0864</w:t>
            </w:r>
          </w:p>
        </w:tc>
        <w:tc>
          <w:tcPr>
            <w:tcW w:type="dxa" w:w="2160"/>
          </w:tcPr>
          <w:p>
            <w:r>
              <w:rPr>
                <w:sz w:val="18"/>
              </w:rPr>
              <w:t>-0.0805</w:t>
            </w:r>
          </w:p>
        </w:tc>
        <w:tc>
          <w:tcPr>
            <w:tcW w:type="dxa" w:w="2160"/>
          </w:tcPr>
          <w:p>
            <w:r>
              <w:rPr>
                <w:sz w:val="18"/>
              </w:rPr>
              <w:t>-0.0059</w:t>
            </w:r>
          </w:p>
        </w:tc>
      </w:tr>
      <w:tr>
        <w:tc>
          <w:tcPr>
            <w:tcW w:type="dxa" w:w="2160"/>
          </w:tcPr>
          <w:p>
            <w:r>
              <w:rPr>
                <w:sz w:val="18"/>
              </w:rPr>
              <w:t>stock_momentum_90d</w:t>
            </w:r>
          </w:p>
        </w:tc>
        <w:tc>
          <w:tcPr>
            <w:tcW w:type="dxa" w:w="2160"/>
          </w:tcPr>
          <w:p>
            <w:r>
              <w:rPr>
                <w:sz w:val="18"/>
              </w:rPr>
              <w:t>0.0251</w:t>
            </w:r>
          </w:p>
        </w:tc>
        <w:tc>
          <w:tcPr>
            <w:tcW w:type="dxa" w:w="2160"/>
          </w:tcPr>
          <w:p>
            <w:r>
              <w:rPr>
                <w:sz w:val="18"/>
              </w:rPr>
              <w:t>0.022</w:t>
            </w:r>
          </w:p>
        </w:tc>
        <w:tc>
          <w:tcPr>
            <w:tcW w:type="dxa" w:w="2160"/>
          </w:tcPr>
          <w:p>
            <w:r>
              <w:rPr>
                <w:sz w:val="18"/>
              </w:rPr>
              <w:t>0.0031</w:t>
            </w:r>
          </w:p>
        </w:tc>
      </w:tr>
      <w:tr>
        <w:tc>
          <w:tcPr>
            <w:tcW w:type="dxa" w:w="2160"/>
          </w:tcPr>
          <w:p>
            <w:r>
              <w:rPr>
                <w:sz w:val="18"/>
              </w:rPr>
              <w:t>stock_volatility_30d</w:t>
            </w:r>
          </w:p>
        </w:tc>
        <w:tc>
          <w:tcPr>
            <w:tcW w:type="dxa" w:w="2160"/>
          </w:tcPr>
          <w:p>
            <w:r>
              <w:rPr>
                <w:sz w:val="18"/>
              </w:rPr>
              <w:t>0.0208</w:t>
            </w:r>
          </w:p>
        </w:tc>
        <w:tc>
          <w:tcPr>
            <w:tcW w:type="dxa" w:w="2160"/>
          </w:tcPr>
          <w:p>
            <w:r>
              <w:rPr>
                <w:sz w:val="18"/>
              </w:rPr>
              <w:t>0.0201</w:t>
            </w:r>
          </w:p>
        </w:tc>
        <w:tc>
          <w:tcPr>
            <w:tcW w:type="dxa" w:w="2160"/>
          </w:tcPr>
          <w:p>
            <w:r>
              <w:rPr>
                <w:sz w:val="18"/>
              </w:rPr>
              <w:t>0.0007</w:t>
            </w:r>
          </w:p>
        </w:tc>
      </w:tr>
      <w:tr>
        <w:tc>
          <w:tcPr>
            <w:tcW w:type="dxa" w:w="2160"/>
          </w:tcPr>
          <w:p>
            <w:r>
              <w:rPr>
                <w:sz w:val="18"/>
              </w:rPr>
              <w:t>beta</w:t>
            </w:r>
          </w:p>
        </w:tc>
        <w:tc>
          <w:tcPr>
            <w:tcW w:type="dxa" w:w="2160"/>
          </w:tcPr>
          <w:p>
            <w:r>
              <w:rPr>
                <w:sz w:val="18"/>
              </w:rPr>
              <w:t>0.9344</w:t>
            </w:r>
          </w:p>
        </w:tc>
        <w:tc>
          <w:tcPr>
            <w:tcW w:type="dxa" w:w="2160"/>
          </w:tcPr>
          <w:p>
            <w:r>
              <w:rPr>
                <w:sz w:val="18"/>
              </w:rPr>
              <w:t>0.9951</w:t>
            </w:r>
          </w:p>
        </w:tc>
        <w:tc>
          <w:tcPr>
            <w:tcW w:type="dxa" w:w="2160"/>
          </w:tcPr>
          <w:p>
            <w:r>
              <w:rPr>
                <w:sz w:val="18"/>
              </w:rPr>
              <w:t>-0.0607</w:t>
            </w:r>
          </w:p>
        </w:tc>
      </w:tr>
      <w:tr>
        <w:tc>
          <w:tcPr>
            <w:tcW w:type="dxa" w:w="2160"/>
          </w:tcPr>
          <w:p>
            <w:r>
              <w:rPr>
                <w:sz w:val="18"/>
              </w:rPr>
              <w:t>max_committee_rank</w:t>
            </w:r>
          </w:p>
        </w:tc>
        <w:tc>
          <w:tcPr>
            <w:tcW w:type="dxa" w:w="2160"/>
          </w:tcPr>
          <w:p>
            <w:r>
              <w:rPr>
                <w:sz w:val="18"/>
              </w:rPr>
              <w:t>107.3515</w:t>
            </w:r>
          </w:p>
        </w:tc>
        <w:tc>
          <w:tcPr>
            <w:tcW w:type="dxa" w:w="2160"/>
          </w:tcPr>
          <w:p>
            <w:r>
              <w:rPr>
                <w:sz w:val="18"/>
              </w:rPr>
              <w:t>98.7429</w:t>
            </w:r>
          </w:p>
        </w:tc>
        <w:tc>
          <w:tcPr>
            <w:tcW w:type="dxa" w:w="2160"/>
          </w:tcPr>
          <w:p>
            <w:r>
              <w:rPr>
                <w:sz w:val="18"/>
              </w:rPr>
              <w:t>8.6086</w:t>
            </w:r>
          </w:p>
        </w:tc>
      </w:tr>
      <w:tr>
        <w:tc>
          <w:tcPr>
            <w:tcW w:type="dxa" w:w="2160"/>
          </w:tcPr>
          <w:p>
            <w:r>
              <w:rPr>
                <w:sz w:val="18"/>
              </w:rPr>
              <w:t>all_pol_sells_same_ticker_30d</w:t>
            </w:r>
          </w:p>
        </w:tc>
        <w:tc>
          <w:tcPr>
            <w:tcW w:type="dxa" w:w="2160"/>
          </w:tcPr>
          <w:p>
            <w:r>
              <w:rPr>
                <w:sz w:val="18"/>
              </w:rPr>
              <w:t>0.4568</w:t>
            </w:r>
          </w:p>
        </w:tc>
        <w:tc>
          <w:tcPr>
            <w:tcW w:type="dxa" w:w="2160"/>
          </w:tcPr>
          <w:p>
            <w:r>
              <w:rPr>
                <w:sz w:val="18"/>
              </w:rPr>
              <w:t>0.4002</w:t>
            </w:r>
          </w:p>
        </w:tc>
        <w:tc>
          <w:tcPr>
            <w:tcW w:type="dxa" w:w="2160"/>
          </w:tcPr>
          <w:p>
            <w:r>
              <w:rPr>
                <w:sz w:val="18"/>
              </w:rPr>
              <w:t>0.0566</w:t>
            </w:r>
          </w:p>
        </w:tc>
      </w:tr>
      <w:tr>
        <w:tc>
          <w:tcPr>
            <w:tcW w:type="dxa" w:w="2160"/>
          </w:tcPr>
          <w:p>
            <w:r>
              <w:rPr>
                <w:sz w:val="18"/>
              </w:rPr>
              <w:t>n_committees</w:t>
            </w:r>
          </w:p>
        </w:tc>
        <w:tc>
          <w:tcPr>
            <w:tcW w:type="dxa" w:w="2160"/>
          </w:tcPr>
          <w:p>
            <w:r>
              <w:rPr>
                <w:sz w:val="18"/>
              </w:rPr>
              <w:t>2.3444</w:t>
            </w:r>
          </w:p>
        </w:tc>
        <w:tc>
          <w:tcPr>
            <w:tcW w:type="dxa" w:w="2160"/>
          </w:tcPr>
          <w:p>
            <w:r>
              <w:rPr>
                <w:sz w:val="18"/>
              </w:rPr>
              <w:t>2.2598</w:t>
            </w:r>
          </w:p>
        </w:tc>
        <w:tc>
          <w:tcPr>
            <w:tcW w:type="dxa" w:w="2160"/>
          </w:tcPr>
          <w:p>
            <w:r>
              <w:rPr>
                <w:sz w:val="18"/>
              </w:rPr>
              <w:t>0.0846</w:t>
            </w:r>
          </w:p>
        </w:tc>
      </w:tr>
      <w:tr>
        <w:tc>
          <w:tcPr>
            <w:tcW w:type="dxa" w:w="2160"/>
          </w:tcPr>
          <w:p>
            <w:r>
              <w:rPr>
                <w:sz w:val="18"/>
              </w:rPr>
              <w:t>ticker_prior_buys</w:t>
            </w:r>
          </w:p>
        </w:tc>
        <w:tc>
          <w:tcPr>
            <w:tcW w:type="dxa" w:w="2160"/>
          </w:tcPr>
          <w:p>
            <w:r>
              <w:rPr>
                <w:sz w:val="18"/>
              </w:rPr>
              <w:t>3.3101</w:t>
            </w:r>
          </w:p>
        </w:tc>
        <w:tc>
          <w:tcPr>
            <w:tcW w:type="dxa" w:w="2160"/>
          </w:tcPr>
          <w:p>
            <w:r>
              <w:rPr>
                <w:sz w:val="18"/>
              </w:rPr>
              <w:t>3.1222</w:t>
            </w:r>
          </w:p>
        </w:tc>
        <w:tc>
          <w:tcPr>
            <w:tcW w:type="dxa" w:w="2160"/>
          </w:tcPr>
          <w:p>
            <w:r>
              <w:rPr>
                <w:sz w:val="18"/>
              </w:rPr>
              <w:t>0.1879</w:t>
            </w:r>
          </w:p>
        </w:tc>
      </w:tr>
    </w:tbl>
    <w:p/>
    <w:p>
      <w:pPr>
        <w:pStyle w:val="Heading2"/>
        <w:jc w:val="left"/>
      </w:pPr>
      <w:r>
        <w:t>Calibration Plot</w:t>
      </w:r>
    </w:p>
    <w:p>
      <w:r>
        <w:rPr>
          <w:sz w:val="20"/>
        </w:rPr>
        <w:t>A well-calibrated model's predicted probabilities should match the observed positive rate. The diagonal dashed line represents perfect calibration. If the curve bows above the diagonal the model is under-confident (predicting lower probabilities than the true rate); below the diagonal indicates over-confidence. Significant miscalibration at high probabilities is most impactful because it affects the trades that would actually be selected.</w:t>
      </w:r>
    </w:p>
    <w:p/>
    <w:p>
      <w:r>
        <w:drawing>
          <wp:inline xmlns:a="http://schemas.openxmlformats.org/drawingml/2006/main" xmlns:pic="http://schemas.openxmlformats.org/drawingml/2006/picture">
            <wp:extent cx="4114800" cy="369724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697246"/>
                    </a:xfrm>
                    <a:prstGeom prst="rect"/>
                  </pic:spPr>
                </pic:pic>
              </a:graphicData>
            </a:graphic>
          </wp:inline>
        </w:drawing>
      </w:r>
    </w:p>
    <w:p>
      <w:pPr>
        <w:pStyle w:val="Heading2"/>
        <w:jc w:val="left"/>
      </w:pPr>
      <w:r>
        <w:t>CAR Distribution by Prediction Type (TP / TN / FP / FN)</w:t>
      </w:r>
    </w:p>
    <w:p>
      <w:r>
        <w:rPr>
          <w:sz w:val="20"/>
        </w:rPr>
        <w:t>The overlaid density histograms below show the realized CAR distribution separately for each of the four prediction outcomes. Ideally, TP trades should have a distribution shifted strongly to the right; FP trades should cluster near zero or negative territory, showing the model is picking up borderline cases. A wide FN distribution that overlaps with TP suggests the model's false negatives are not obviously different from true positives — making them genuinely hard to predict.</w:t>
      </w:r>
    </w:p>
    <w:p/>
    <w:p>
      <w:r>
        <w:drawing>
          <wp:inline xmlns:a="http://schemas.openxmlformats.org/drawingml/2006/main" xmlns:pic="http://schemas.openxmlformats.org/drawingml/2006/picture">
            <wp:extent cx="5669280" cy="281154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81154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