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ABB" w:rsidRPr="00BA2F33" w:rsidRDefault="006C0ABB" w:rsidP="004840BA">
      <w:pPr>
        <w:pStyle w:val="Heading1"/>
      </w:pPr>
      <w:r w:rsidRPr="00BA2F33">
        <w:t>Early worsening of diabetic retinopathy in individuals with type 2</w:t>
      </w:r>
      <w:r w:rsidR="00044A64" w:rsidRPr="00BA2F33">
        <w:t xml:space="preserve"> </w:t>
      </w:r>
      <w:r w:rsidRPr="00BA2F33">
        <w:t>diabetes treated with tirzepatide: a real</w:t>
      </w:r>
      <w:r w:rsidRPr="00BA2F33">
        <w:rPr>
          <w:rFonts w:ascii="Cambria Math" w:hAnsi="Cambria Math" w:cs="Cambria Math"/>
        </w:rPr>
        <w:t>‑</w:t>
      </w:r>
      <w:r w:rsidRPr="00BA2F33">
        <w:t>world cohort study</w:t>
      </w:r>
      <w:r w:rsidR="00044A64" w:rsidRPr="00BA2F33">
        <w:t xml:space="preserve"> - 2025</w:t>
      </w:r>
    </w:p>
    <w:p w:rsidR="006C0ABB" w:rsidRPr="00BA2F33" w:rsidRDefault="006C0ABB" w:rsidP="009A5EF9">
      <w:pPr>
        <w:pStyle w:val="Subtitle"/>
        <w:jc w:val="both"/>
      </w:pPr>
      <w:hyperlink r:id="rId5" w:history="1">
        <w:r w:rsidRPr="00BA2F33">
          <w:rPr>
            <w:rStyle w:val="Hyperlink"/>
            <w:color w:val="595959" w:themeColor="text1" w:themeTint="A6"/>
            <w:u w:val="none"/>
          </w:rPr>
          <w:t>https://doi.org/10.1007/s00125-025-06466-8</w:t>
        </w:r>
      </w:hyperlink>
    </w:p>
    <w:p w:rsidR="00023E3D" w:rsidRDefault="00044A64" w:rsidP="009A5EF9">
      <w:pPr>
        <w:pStyle w:val="Heading2"/>
        <w:jc w:val="both"/>
      </w:pPr>
      <w:r w:rsidRPr="00BA2F33">
        <w:t>Data and Ethics</w:t>
      </w:r>
    </w:p>
    <w:p w:rsidR="00044A64" w:rsidRPr="00BA2F33" w:rsidRDefault="00044A64" w:rsidP="009A5EF9">
      <w:pPr>
        <w:pStyle w:val="Heading3"/>
        <w:numPr>
          <w:ilvl w:val="0"/>
          <w:numId w:val="31"/>
        </w:numPr>
        <w:jc w:val="both"/>
      </w:pPr>
      <w:r w:rsidRPr="00BA2F33">
        <w:t>datasets used</w:t>
      </w:r>
    </w:p>
    <w:p w:rsidR="00044A64" w:rsidRPr="00044A64" w:rsidRDefault="00044A64" w:rsidP="009A5EF9">
      <w:pPr>
        <w:pStyle w:val="ListParagraph"/>
        <w:numPr>
          <w:ilvl w:val="0"/>
          <w:numId w:val="32"/>
        </w:numPr>
        <w:ind w:left="1134"/>
        <w:jc w:val="both"/>
      </w:pPr>
      <w:r w:rsidRPr="00044A64">
        <w:t xml:space="preserve">“Data were collected from EMRs under the terms of </w:t>
      </w:r>
      <w:r w:rsidRPr="00F83180">
        <w:rPr>
          <w:highlight w:val="green"/>
        </w:rPr>
        <w:t>ICLDC’s</w:t>
      </w:r>
      <w:r w:rsidRPr="00044A64">
        <w:t xml:space="preserve"> prospective consent for use of anonymised patient data in research. Retinal images were provided by the in-house diabetic retinopathy screening (DRS) service at ICLDC, which acquires </w:t>
      </w:r>
      <w:r w:rsidRPr="00577FDA">
        <w:rPr>
          <w:highlight w:val="green"/>
        </w:rPr>
        <w:t>two 45° fundus images annually</w:t>
      </w:r>
      <w:r w:rsidRPr="00044A64">
        <w:t xml:space="preserve"> for all patients with diabetes.”</w:t>
      </w:r>
    </w:p>
    <w:p w:rsidR="00044A64" w:rsidRPr="00BA2F33" w:rsidRDefault="00044A64" w:rsidP="009A5EF9">
      <w:pPr>
        <w:pStyle w:val="Heading3"/>
        <w:numPr>
          <w:ilvl w:val="0"/>
          <w:numId w:val="31"/>
        </w:numPr>
        <w:jc w:val="both"/>
      </w:pPr>
      <w:r w:rsidRPr="00BA2F33">
        <w:t>inclusion/exclusion criteria</w:t>
      </w:r>
    </w:p>
    <w:p w:rsidR="00044A64" w:rsidRPr="00044A64" w:rsidRDefault="00044A64" w:rsidP="009A5EF9">
      <w:pPr>
        <w:pStyle w:val="ListParagraph"/>
        <w:numPr>
          <w:ilvl w:val="0"/>
          <w:numId w:val="32"/>
        </w:numPr>
        <w:ind w:left="1134"/>
        <w:jc w:val="both"/>
      </w:pPr>
      <w:r w:rsidRPr="00044A64">
        <w:t xml:space="preserve">“Inclusion criteria were </w:t>
      </w:r>
      <w:r w:rsidRPr="00F83180">
        <w:rPr>
          <w:highlight w:val="green"/>
        </w:rPr>
        <w:t>age ≥18 years</w:t>
      </w:r>
      <w:r w:rsidRPr="00044A64">
        <w:t xml:space="preserve">, diagnosis of </w:t>
      </w:r>
      <w:r w:rsidRPr="00F83180">
        <w:rPr>
          <w:highlight w:val="green"/>
        </w:rPr>
        <w:t>type 2 diabetes</w:t>
      </w:r>
      <w:r w:rsidRPr="00044A64">
        <w:t xml:space="preserve">, and at least </w:t>
      </w:r>
      <w:r w:rsidRPr="00F83180">
        <w:rPr>
          <w:highlight w:val="green"/>
        </w:rPr>
        <w:t>one episode of gradable diabetic retinopathy</w:t>
      </w:r>
      <w:r w:rsidRPr="00044A64">
        <w:t xml:space="preserve"> screening in the 24 months prior to, and one episode after, 24 October 2022. Exclusion criteria were diabetes of other aetiology, lack of gradable retinal images, previous PDR diagnosis, or intravitreal administration of anti-vascular endothelial growth factor in the 60 days prior to tirzepatide initiation. Exposure to tirzepatide was defined as at least two recorded episodes of tirzepatide being dispensed, equivalent to ≥180 days’ treatment, with exclusion of individuals who reported never administering their tirzepatide.”</w:t>
      </w:r>
    </w:p>
    <w:p w:rsidR="00044A64" w:rsidRPr="00BA2F33" w:rsidRDefault="00044A64" w:rsidP="009A5EF9">
      <w:pPr>
        <w:pStyle w:val="Heading3"/>
        <w:numPr>
          <w:ilvl w:val="0"/>
          <w:numId w:val="31"/>
        </w:numPr>
        <w:jc w:val="both"/>
      </w:pPr>
      <w:r w:rsidRPr="00BA2F33">
        <w:t>ethical considerations</w:t>
      </w:r>
    </w:p>
    <w:p w:rsidR="00044A64" w:rsidRPr="00044A64" w:rsidRDefault="00044A64" w:rsidP="009A5EF9">
      <w:pPr>
        <w:pStyle w:val="ListParagraph"/>
        <w:numPr>
          <w:ilvl w:val="0"/>
          <w:numId w:val="32"/>
        </w:numPr>
        <w:ind w:left="1134"/>
        <w:jc w:val="both"/>
      </w:pPr>
      <w:r w:rsidRPr="00044A64">
        <w:t>“The study protocol was approved by the ICLDC Research Ethics Committee (ref.: IREC 100).”</w:t>
      </w:r>
    </w:p>
    <w:p w:rsidR="00044A64" w:rsidRPr="00BA2F33" w:rsidRDefault="00044A64" w:rsidP="009A5EF9">
      <w:pPr>
        <w:pStyle w:val="Heading2"/>
        <w:jc w:val="both"/>
      </w:pPr>
      <w:r w:rsidRPr="00BA2F33">
        <w:t>Preprocessing and Quality Control</w:t>
      </w:r>
    </w:p>
    <w:p w:rsidR="00044A64" w:rsidRPr="00044A64" w:rsidRDefault="00044A64" w:rsidP="009A5EF9">
      <w:pPr>
        <w:pStyle w:val="Heading3"/>
        <w:numPr>
          <w:ilvl w:val="0"/>
          <w:numId w:val="31"/>
        </w:numPr>
        <w:jc w:val="both"/>
      </w:pPr>
      <w:r w:rsidRPr="00044A64">
        <w:t>image cleaning and normalization</w:t>
      </w:r>
    </w:p>
    <w:p w:rsidR="00044A64" w:rsidRPr="00044A64" w:rsidRDefault="00044A64" w:rsidP="009A5EF9">
      <w:pPr>
        <w:pStyle w:val="ListParagraph"/>
        <w:numPr>
          <w:ilvl w:val="0"/>
          <w:numId w:val="32"/>
        </w:numPr>
        <w:ind w:left="1134"/>
        <w:jc w:val="both"/>
      </w:pPr>
      <w:r w:rsidRPr="00044A64">
        <w:t>“Retinal images were graded using the English NHS Diabetic Eye Screening Programme grading form. Each eye was given a retinopathy grade (denoted ‘R’) and a maculopathy grade (denoted ‘M’) according to severity level. Individuals with pre-existing mild NPDR (R1M0) were classified according to whether background changes were present in one eye (R1a) or both eyes (R1b).”</w:t>
      </w:r>
    </w:p>
    <w:p w:rsidR="00044A64" w:rsidRPr="00044A64" w:rsidRDefault="00044A64" w:rsidP="009A5EF9">
      <w:pPr>
        <w:pStyle w:val="Heading3"/>
        <w:numPr>
          <w:ilvl w:val="0"/>
          <w:numId w:val="31"/>
        </w:numPr>
        <w:jc w:val="both"/>
      </w:pPr>
      <w:r w:rsidRPr="00044A64">
        <w:lastRenderedPageBreak/>
        <w:t>augmentation strategies</w:t>
      </w:r>
    </w:p>
    <w:p w:rsidR="00044A64" w:rsidRPr="00044A64" w:rsidRDefault="00044A64" w:rsidP="009A5EF9">
      <w:pPr>
        <w:pStyle w:val="ListParagraph"/>
        <w:numPr>
          <w:ilvl w:val="0"/>
          <w:numId w:val="32"/>
        </w:numPr>
        <w:ind w:left="1134"/>
        <w:jc w:val="both"/>
      </w:pPr>
      <w:r w:rsidRPr="00044A64">
        <w:t>—Not mentioned—</w:t>
      </w:r>
    </w:p>
    <w:p w:rsidR="00044A64" w:rsidRPr="00044A64" w:rsidRDefault="00044A64" w:rsidP="009A5EF9">
      <w:pPr>
        <w:pStyle w:val="Heading3"/>
        <w:numPr>
          <w:ilvl w:val="0"/>
          <w:numId w:val="31"/>
        </w:numPr>
        <w:jc w:val="both"/>
      </w:pPr>
      <w:r w:rsidRPr="00044A64">
        <w:t>handling class imbalance</w:t>
      </w:r>
    </w:p>
    <w:p w:rsidR="00044A64" w:rsidRPr="00044A64" w:rsidRDefault="00044A64" w:rsidP="009A5EF9">
      <w:pPr>
        <w:pStyle w:val="ListParagraph"/>
        <w:numPr>
          <w:ilvl w:val="0"/>
          <w:numId w:val="32"/>
        </w:numPr>
        <w:ind w:left="1134"/>
        <w:jc w:val="both"/>
      </w:pPr>
      <w:r w:rsidRPr="00044A64">
        <w:t>“</w:t>
      </w:r>
      <w:r w:rsidRPr="00577FDA">
        <w:rPr>
          <w:highlight w:val="green"/>
        </w:rPr>
        <w:t>Matching was performed to balance covariates</w:t>
      </w:r>
      <w:r w:rsidRPr="00044A64">
        <w:t>: tirzepatide-exposed individuals were matched 1:1 with unexposed individuals using nearest-neighbour propensity score matching (PSM) without replacement and Mahalanobis distance, based on clinical characteristics. Additionally, coarsened exact matching (CEM) was performed to assess bias.”</w:t>
      </w:r>
    </w:p>
    <w:p w:rsidR="00044A64" w:rsidRPr="00BA2F33" w:rsidRDefault="00044A64" w:rsidP="009A5EF9">
      <w:pPr>
        <w:pStyle w:val="Heading2"/>
        <w:jc w:val="both"/>
      </w:pPr>
      <w:r w:rsidRPr="00BA2F33">
        <w:t>Results</w:t>
      </w:r>
    </w:p>
    <w:p w:rsidR="00044A64" w:rsidRPr="00044A64" w:rsidRDefault="00044A64" w:rsidP="009A5EF9">
      <w:pPr>
        <w:pStyle w:val="Heading3"/>
        <w:numPr>
          <w:ilvl w:val="0"/>
          <w:numId w:val="31"/>
        </w:numPr>
        <w:jc w:val="both"/>
      </w:pPr>
      <w:r w:rsidRPr="00044A64">
        <w:t>primary metrics</w:t>
      </w:r>
    </w:p>
    <w:p w:rsidR="00044A64" w:rsidRPr="00044A64" w:rsidRDefault="00044A64" w:rsidP="009A5EF9">
      <w:pPr>
        <w:pStyle w:val="ListParagraph"/>
        <w:numPr>
          <w:ilvl w:val="0"/>
          <w:numId w:val="32"/>
        </w:numPr>
        <w:ind w:left="1134"/>
        <w:jc w:val="both"/>
      </w:pPr>
      <w:r w:rsidRPr="00044A64">
        <w:t>“New PDR (R3M0, R3M1) was detected in 1.1% of tirzepatide-exposed individuals and 0.5% of unexposed individuals. Tirzepatide exposure was significantly associated with increased odds of new PDR (OR 2.15 [95% CI 1.24, 3.74], p&lt;0.01).”</w:t>
      </w:r>
    </w:p>
    <w:p w:rsidR="00044A64" w:rsidRPr="00044A64" w:rsidRDefault="00044A64" w:rsidP="009A5EF9">
      <w:pPr>
        <w:pStyle w:val="ListParagraph"/>
        <w:numPr>
          <w:ilvl w:val="0"/>
          <w:numId w:val="32"/>
        </w:numPr>
        <w:ind w:left="1134"/>
        <w:jc w:val="both"/>
      </w:pPr>
      <w:r w:rsidRPr="00044A64">
        <w:t>“Progression to moderate-to-severe NPDR or PDR in individuals with mild NPDR at baseline occurred in 4.7% of exposed individuals and 3.4% of unexposed individuals; exposure was not significantly associated with progression (OR 1.29 [95% CI 0.89, 1.88], p=0.18).”</w:t>
      </w:r>
    </w:p>
    <w:p w:rsidR="00044A64" w:rsidRPr="00044A64" w:rsidRDefault="00044A64" w:rsidP="009A5EF9">
      <w:pPr>
        <w:pStyle w:val="ListParagraph"/>
        <w:numPr>
          <w:ilvl w:val="0"/>
          <w:numId w:val="32"/>
        </w:numPr>
        <w:ind w:left="1134"/>
        <w:jc w:val="both"/>
      </w:pPr>
      <w:r w:rsidRPr="00044A64">
        <w:t>“New-onset retinopathy in individuals without prior eye disease occurred in 6.9% of exposed individuals and 9.3% of unexposed individuals; tirzepatide exposure was associated with reduced odds (OR 0.73 [95% CI 0.62, 0.86], p&lt;0.001).”</w:t>
      </w:r>
    </w:p>
    <w:p w:rsidR="00044A64" w:rsidRPr="00044A64" w:rsidRDefault="00044A64" w:rsidP="009A5EF9">
      <w:pPr>
        <w:pStyle w:val="Heading3"/>
        <w:numPr>
          <w:ilvl w:val="0"/>
          <w:numId w:val="31"/>
        </w:numPr>
        <w:jc w:val="both"/>
      </w:pPr>
      <w:r w:rsidRPr="00044A64">
        <w:t>secondary metrics</w:t>
      </w:r>
    </w:p>
    <w:p w:rsidR="00044A64" w:rsidRPr="00044A64" w:rsidRDefault="00044A64" w:rsidP="009A5EF9">
      <w:pPr>
        <w:pStyle w:val="ListParagraph"/>
        <w:numPr>
          <w:ilvl w:val="0"/>
          <w:numId w:val="32"/>
        </w:numPr>
        <w:ind w:left="1134"/>
        <w:jc w:val="both"/>
      </w:pPr>
      <w:r w:rsidRPr="00044A64">
        <w:t>“Incident maculopathy occurred in 3.4% of both exposed and unexposed individuals; tirzepatide exposure was not associated with new-onset maculopathy (OR 1.02 [95% CI 0.82, 1.26], p=0.87).”</w:t>
      </w:r>
    </w:p>
    <w:p w:rsidR="00044A64" w:rsidRPr="00044A64" w:rsidRDefault="00044A64" w:rsidP="009A5EF9">
      <w:pPr>
        <w:pStyle w:val="Heading3"/>
        <w:numPr>
          <w:ilvl w:val="0"/>
          <w:numId w:val="31"/>
        </w:numPr>
        <w:jc w:val="both"/>
      </w:pPr>
      <w:r w:rsidRPr="00044A64">
        <w:t>robustness and external validation</w:t>
      </w:r>
    </w:p>
    <w:p w:rsidR="00044A64" w:rsidRPr="00044A64" w:rsidRDefault="00044A64" w:rsidP="009A5EF9">
      <w:pPr>
        <w:pStyle w:val="ListParagraph"/>
        <w:numPr>
          <w:ilvl w:val="0"/>
          <w:numId w:val="32"/>
        </w:numPr>
        <w:ind w:left="1134"/>
        <w:jc w:val="both"/>
      </w:pPr>
      <w:r w:rsidRPr="00044A64">
        <w:t>“Matching ensured post-matching standard mean differences &lt;0.05, variance ratios close to 1, and empirical cumulative distribution functions effectively minimized.”</w:t>
      </w:r>
    </w:p>
    <w:p w:rsidR="00044A64" w:rsidRPr="00044A64" w:rsidRDefault="00044A64" w:rsidP="009A5EF9">
      <w:pPr>
        <w:pStyle w:val="Heading3"/>
        <w:numPr>
          <w:ilvl w:val="0"/>
          <w:numId w:val="31"/>
        </w:numPr>
        <w:jc w:val="both"/>
      </w:pPr>
      <w:r w:rsidRPr="00044A64">
        <w:t>subgroup analyses</w:t>
      </w:r>
    </w:p>
    <w:p w:rsidR="00044A64" w:rsidRPr="00044A64" w:rsidRDefault="00044A64" w:rsidP="009A5EF9">
      <w:pPr>
        <w:pStyle w:val="ListParagraph"/>
        <w:numPr>
          <w:ilvl w:val="0"/>
          <w:numId w:val="32"/>
        </w:numPr>
        <w:ind w:left="1134"/>
        <w:jc w:val="both"/>
      </w:pPr>
      <w:r w:rsidRPr="00044A64">
        <w:t>—Not mentioned—</w:t>
      </w:r>
    </w:p>
    <w:p w:rsidR="00044A64" w:rsidRPr="00044A64" w:rsidRDefault="00044A64" w:rsidP="009A5EF9">
      <w:pPr>
        <w:pStyle w:val="Heading3"/>
        <w:numPr>
          <w:ilvl w:val="0"/>
          <w:numId w:val="31"/>
        </w:numPr>
        <w:jc w:val="both"/>
      </w:pPr>
      <w:r w:rsidRPr="00044A64">
        <w:lastRenderedPageBreak/>
        <w:t>ablation studies</w:t>
      </w:r>
    </w:p>
    <w:p w:rsidR="00044A64" w:rsidRPr="00044A64" w:rsidRDefault="00044A64" w:rsidP="009A5EF9">
      <w:pPr>
        <w:pStyle w:val="ListParagraph"/>
        <w:numPr>
          <w:ilvl w:val="0"/>
          <w:numId w:val="32"/>
        </w:numPr>
        <w:ind w:left="1134"/>
        <w:jc w:val="both"/>
      </w:pPr>
      <w:r w:rsidRPr="00044A64">
        <w:t>—Not mentioned—</w:t>
      </w:r>
    </w:p>
    <w:p w:rsidR="00044A64" w:rsidRPr="00044A64" w:rsidRDefault="00044A64" w:rsidP="009A5EF9">
      <w:pPr>
        <w:pStyle w:val="Heading3"/>
        <w:numPr>
          <w:ilvl w:val="0"/>
          <w:numId w:val="31"/>
        </w:numPr>
        <w:jc w:val="both"/>
      </w:pPr>
      <w:r w:rsidRPr="00044A64">
        <w:t>model compression and deployment results</w:t>
      </w:r>
    </w:p>
    <w:p w:rsidR="005C4D38" w:rsidRPr="00BA2F33" w:rsidRDefault="00044A64" w:rsidP="009A5EF9">
      <w:pPr>
        <w:pStyle w:val="ListParagraph"/>
        <w:numPr>
          <w:ilvl w:val="0"/>
          <w:numId w:val="32"/>
        </w:numPr>
        <w:ind w:left="1134"/>
        <w:jc w:val="both"/>
      </w:pPr>
      <w:r w:rsidRPr="00044A64">
        <w:t>—Not mentioned—</w:t>
      </w:r>
    </w:p>
    <w:p w:rsidR="006C0ABB" w:rsidRDefault="005C4D38" w:rsidP="009A5EF9">
      <w:pPr>
        <w:pStyle w:val="Heading1"/>
        <w:jc w:val="both"/>
      </w:pPr>
      <w:r w:rsidRPr="005C4D38">
        <w:t>Uncertainty-aware diabetic retinopathy detection using deep learning enhanced by Bayesian approaches</w:t>
      </w:r>
      <w:r w:rsidR="00044A64">
        <w:t xml:space="preserve"> -  2025</w:t>
      </w:r>
    </w:p>
    <w:p w:rsidR="00044A64" w:rsidRDefault="005C4D38" w:rsidP="009A5EF9">
      <w:pPr>
        <w:pStyle w:val="Subtitle"/>
        <w:jc w:val="both"/>
      </w:pPr>
      <w:hyperlink r:id="rId6" w:history="1">
        <w:r>
          <w:rPr>
            <w:rStyle w:val="Hyperlink"/>
            <w:b/>
            <w:bCs/>
          </w:rPr>
          <w:t>https://doi.org/10.1038/s41598-024-84478-x</w:t>
        </w:r>
      </w:hyperlink>
    </w:p>
    <w:p w:rsidR="00044A64" w:rsidRPr="00044A64" w:rsidRDefault="00044A64" w:rsidP="009A5EF9">
      <w:pPr>
        <w:pStyle w:val="Heading2"/>
        <w:jc w:val="both"/>
      </w:pPr>
      <w:r w:rsidRPr="00044A64">
        <w:t>Data and Ethics</w:t>
      </w:r>
    </w:p>
    <w:p w:rsidR="00577FDA" w:rsidRPr="00577FDA" w:rsidRDefault="00044A64" w:rsidP="00577FDA">
      <w:pPr>
        <w:pStyle w:val="Heading3"/>
        <w:numPr>
          <w:ilvl w:val="0"/>
          <w:numId w:val="31"/>
        </w:numPr>
        <w:jc w:val="both"/>
      </w:pPr>
      <w:r w:rsidRPr="00044A64">
        <w:t>datasets use</w:t>
      </w:r>
      <w:r w:rsidR="00577FDA">
        <w:t>d</w:t>
      </w:r>
    </w:p>
    <w:p w:rsidR="00044A64" w:rsidRDefault="00044A64" w:rsidP="00577FDA">
      <w:pPr>
        <w:pStyle w:val="ListParagraph"/>
        <w:numPr>
          <w:ilvl w:val="0"/>
          <w:numId w:val="32"/>
        </w:numPr>
        <w:ind w:left="1134"/>
        <w:jc w:val="both"/>
      </w:pPr>
      <w:r w:rsidRPr="00044A64">
        <w:t xml:space="preserve">“Our study utilizes two different Kaggle datasets. The first dataset </w:t>
      </w:r>
      <w:r w:rsidRPr="00577FDA">
        <w:rPr>
          <w:highlight w:val="green"/>
        </w:rPr>
        <w:t>is APTOS-2019</w:t>
      </w:r>
      <w:r w:rsidRPr="00044A64">
        <w:t xml:space="preserve">, donated by the Asia Pacific Tele-Ophthalmology Society. This dataset is one of the </w:t>
      </w:r>
      <w:r w:rsidRPr="00577FDA">
        <w:rPr>
          <w:highlight w:val="green"/>
        </w:rPr>
        <w:t>most widely used datasets currently available for detecting diabetic retinopathy (DR).</w:t>
      </w:r>
      <w:r w:rsidRPr="00044A64">
        <w:t xml:space="preserve"> The APTOS-2019 dataset </w:t>
      </w:r>
      <w:r w:rsidRPr="00577FDA">
        <w:rPr>
          <w:highlight w:val="green"/>
        </w:rPr>
        <w:t>contains 3,662 color retinal images</w:t>
      </w:r>
      <w:r w:rsidRPr="00044A64">
        <w:t xml:space="preserve"> from different clinical settings. The image sizes range </w:t>
      </w:r>
      <w:r w:rsidRPr="00577FDA">
        <w:rPr>
          <w:highlight w:val="green"/>
        </w:rPr>
        <w:t>from 640×480 to 2,848×4,288 pixels</w:t>
      </w:r>
      <w:r w:rsidRPr="00044A64">
        <w:t xml:space="preserve">. The grades had been rated at the DR severity scale from </w:t>
      </w:r>
      <w:r w:rsidRPr="00577FDA">
        <w:rPr>
          <w:highlight w:val="green"/>
        </w:rPr>
        <w:t>0 to 4</w:t>
      </w:r>
      <w:r w:rsidRPr="00044A64">
        <w:t>: No-DR, Mild-DR, Moderate-DR, Severe-DR, and Proliferative-DR, with 1,805 photographs in No-DR, 370 in Mild-DR, 999 in Moderate-DR, 193 in Severe-DR, and 293 in Proliferative-DR.”</w:t>
      </w:r>
    </w:p>
    <w:p w:rsidR="00044A64" w:rsidRPr="009A5EF9" w:rsidRDefault="00044A64" w:rsidP="009A5EF9">
      <w:pPr>
        <w:pStyle w:val="ListParagraph"/>
        <w:numPr>
          <w:ilvl w:val="0"/>
          <w:numId w:val="32"/>
        </w:numPr>
        <w:ind w:left="1134"/>
        <w:jc w:val="both"/>
      </w:pPr>
      <w:r w:rsidRPr="00044A64">
        <w:t xml:space="preserve">“The second one is </w:t>
      </w:r>
      <w:r w:rsidRPr="00577FDA">
        <w:rPr>
          <w:highlight w:val="green"/>
        </w:rPr>
        <w:t>the DDR dataset</w:t>
      </w:r>
      <w:r w:rsidRPr="00044A64">
        <w:t xml:space="preserve">, which is composed </w:t>
      </w:r>
      <w:r w:rsidRPr="00577FDA">
        <w:rPr>
          <w:highlight w:val="green"/>
        </w:rPr>
        <w:t>of 13,673 fundus images retrieved from all provinces (147 hospitals</w:t>
      </w:r>
      <w:r w:rsidRPr="00044A64">
        <w:t xml:space="preserve">). This dataset is also separated into </w:t>
      </w:r>
      <w:r w:rsidRPr="00577FDA">
        <w:rPr>
          <w:highlight w:val="green"/>
        </w:rPr>
        <w:t>five groups of DR</w:t>
      </w:r>
      <w:r w:rsidRPr="00044A64">
        <w:t xml:space="preserve"> based on their severity. Both datasets contain severely skewed fractions with a significant amount of noise, hence requiring distinct pre-processing </w:t>
      </w:r>
      <w:r w:rsidRPr="009A5EF9">
        <w:t>procedures to prepare the images for model training.”</w:t>
      </w:r>
    </w:p>
    <w:p w:rsidR="00044A64" w:rsidRDefault="00044A64" w:rsidP="009A5EF9">
      <w:pPr>
        <w:pStyle w:val="Heading3"/>
        <w:numPr>
          <w:ilvl w:val="0"/>
          <w:numId w:val="31"/>
        </w:numPr>
        <w:jc w:val="both"/>
      </w:pPr>
      <w:r w:rsidRPr="00044A64">
        <w:t>inclusion/exclusion criteria</w:t>
      </w:r>
    </w:p>
    <w:p w:rsidR="00044A64" w:rsidRPr="00044A64" w:rsidRDefault="00044A64" w:rsidP="009A5EF9">
      <w:pPr>
        <w:pStyle w:val="ListParagraph"/>
        <w:numPr>
          <w:ilvl w:val="0"/>
          <w:numId w:val="32"/>
        </w:numPr>
        <w:ind w:left="1134"/>
        <w:jc w:val="both"/>
      </w:pPr>
      <w:r w:rsidRPr="00044A64">
        <w:t xml:space="preserve">“Both datasets contain retina images representing five classes which include No-DR, Mild-DR, Moderate-DR, Severe-DR, and Proliferative-DR. Both datasets are significantly imbalanced. We </w:t>
      </w:r>
      <w:r w:rsidRPr="00577FDA">
        <w:rPr>
          <w:highlight w:val="green"/>
        </w:rPr>
        <w:t>balanced the dataset by reducing samples in the majority classes and adding samples in the minority classes from the DDR dataset</w:t>
      </w:r>
      <w:r w:rsidRPr="00044A64">
        <w:t>. This approach helped achieve a more even sample distribution across the classes.”</w:t>
      </w:r>
    </w:p>
    <w:p w:rsidR="00044A64" w:rsidRDefault="00044A64" w:rsidP="009A5EF9">
      <w:pPr>
        <w:pStyle w:val="Heading3"/>
        <w:numPr>
          <w:ilvl w:val="0"/>
          <w:numId w:val="31"/>
        </w:numPr>
        <w:jc w:val="both"/>
      </w:pPr>
      <w:r w:rsidRPr="00044A64">
        <w:lastRenderedPageBreak/>
        <w:t>ethical considerations</w:t>
      </w:r>
    </w:p>
    <w:p w:rsidR="00044A64" w:rsidRPr="00044A64" w:rsidRDefault="00044A64" w:rsidP="009A5EF9">
      <w:pPr>
        <w:pStyle w:val="ListParagraph"/>
        <w:numPr>
          <w:ilvl w:val="0"/>
          <w:numId w:val="32"/>
        </w:numPr>
        <w:ind w:left="1134"/>
        <w:jc w:val="both"/>
      </w:pPr>
      <w:r w:rsidRPr="00044A64">
        <w:t>—Not mentioned—</w:t>
      </w:r>
    </w:p>
    <w:p w:rsidR="00044A64" w:rsidRPr="00044A64" w:rsidRDefault="00044A64" w:rsidP="009A5EF9">
      <w:pPr>
        <w:pStyle w:val="Heading2"/>
        <w:jc w:val="both"/>
      </w:pPr>
      <w:r w:rsidRPr="00044A64">
        <w:t>Preprocessing and Quality Control</w:t>
      </w:r>
    </w:p>
    <w:p w:rsidR="00044A64" w:rsidRDefault="00044A64" w:rsidP="009A5EF9">
      <w:pPr>
        <w:pStyle w:val="Heading3"/>
        <w:numPr>
          <w:ilvl w:val="0"/>
          <w:numId w:val="31"/>
        </w:numPr>
        <w:jc w:val="both"/>
      </w:pPr>
      <w:r w:rsidRPr="00044A64">
        <w:t>image cleaning and normalization</w:t>
      </w:r>
    </w:p>
    <w:p w:rsidR="00044A64" w:rsidRPr="00044A64" w:rsidRDefault="00044A64" w:rsidP="009A5EF9">
      <w:pPr>
        <w:pStyle w:val="ListParagraph"/>
        <w:numPr>
          <w:ilvl w:val="0"/>
          <w:numId w:val="32"/>
        </w:numPr>
        <w:ind w:left="1134"/>
        <w:jc w:val="both"/>
      </w:pPr>
      <w:r w:rsidRPr="00044A64">
        <w:t xml:space="preserve">“To improve quality, </w:t>
      </w:r>
      <w:r w:rsidRPr="00A25A6E">
        <w:rPr>
          <w:highlight w:val="green"/>
        </w:rPr>
        <w:t>samples were normalized and enhanced</w:t>
      </w:r>
      <w:r w:rsidRPr="00044A64">
        <w:t xml:space="preserve"> using various pre-processing techniques before we could analyze and classify them properly. The main pre-processing method is </w:t>
      </w:r>
      <w:r w:rsidRPr="00A25A6E">
        <w:rPr>
          <w:highlight w:val="green"/>
        </w:rPr>
        <w:t>Brightness Enhancement Normalization</w:t>
      </w:r>
      <w:r w:rsidRPr="00044A64">
        <w:t xml:space="preserve"> (BEN). </w:t>
      </w:r>
      <w:r w:rsidRPr="00A25A6E">
        <w:rPr>
          <w:highlight w:val="green"/>
        </w:rPr>
        <w:t>Images were resized to 224×224 pixels, gray area cropping was applied to remove dark regions, padding was added for uniform size, Gaussian blur was applied for smoothing, and brightness and contrast adjustment was performed via BEN.”</w:t>
      </w:r>
    </w:p>
    <w:p w:rsidR="00044A64" w:rsidRDefault="00044A64" w:rsidP="009A5EF9">
      <w:pPr>
        <w:pStyle w:val="Heading3"/>
        <w:numPr>
          <w:ilvl w:val="0"/>
          <w:numId w:val="31"/>
        </w:numPr>
        <w:jc w:val="both"/>
      </w:pPr>
      <w:r w:rsidRPr="00044A64">
        <w:t>augmentation strategies</w:t>
      </w:r>
    </w:p>
    <w:p w:rsidR="00044A64" w:rsidRPr="00044A64" w:rsidRDefault="00044A64" w:rsidP="009A5EF9">
      <w:pPr>
        <w:pStyle w:val="ListParagraph"/>
        <w:numPr>
          <w:ilvl w:val="0"/>
          <w:numId w:val="32"/>
        </w:numPr>
        <w:ind w:left="1134"/>
        <w:jc w:val="both"/>
      </w:pPr>
      <w:r w:rsidRPr="00044A64">
        <w:t>—Not mentioned—</w:t>
      </w:r>
    </w:p>
    <w:p w:rsidR="00044A64" w:rsidRDefault="00044A64" w:rsidP="009A5EF9">
      <w:pPr>
        <w:pStyle w:val="Heading3"/>
        <w:numPr>
          <w:ilvl w:val="0"/>
          <w:numId w:val="31"/>
        </w:numPr>
        <w:jc w:val="both"/>
      </w:pPr>
      <w:r w:rsidRPr="00044A64">
        <w:t>handling class imbalance</w:t>
      </w:r>
    </w:p>
    <w:p w:rsidR="00044A64" w:rsidRPr="00044A64" w:rsidRDefault="00044A64" w:rsidP="00577FDA">
      <w:pPr>
        <w:pStyle w:val="ListParagraph"/>
        <w:numPr>
          <w:ilvl w:val="0"/>
          <w:numId w:val="32"/>
        </w:numPr>
        <w:ind w:left="1134"/>
        <w:jc w:val="both"/>
      </w:pPr>
      <w:r w:rsidRPr="00044A64">
        <w:t xml:space="preserve">“Since class imbalance is an issue, we concatenated the samples from both datasets to address it. We balanced the dataset by reducing samples in the majority classes and adding samples in the minority classes from the DDR dataset. This ensured a </w:t>
      </w:r>
      <w:r w:rsidRPr="00A25A6E">
        <w:rPr>
          <w:highlight w:val="green"/>
        </w:rPr>
        <w:t>less biased representation</w:t>
      </w:r>
      <w:r w:rsidRPr="00044A64">
        <w:t xml:space="preserve"> for each class, which in turn facilitated appropriate training and evaluation of these models.”</w:t>
      </w:r>
    </w:p>
    <w:p w:rsidR="00044A64" w:rsidRPr="00044A64" w:rsidRDefault="00044A64" w:rsidP="009A5EF9">
      <w:pPr>
        <w:pStyle w:val="Heading2"/>
        <w:jc w:val="both"/>
      </w:pPr>
      <w:r w:rsidRPr="00044A64">
        <w:t>Results</w:t>
      </w:r>
    </w:p>
    <w:p w:rsidR="00044A64" w:rsidRDefault="00044A64" w:rsidP="009A5EF9">
      <w:pPr>
        <w:pStyle w:val="Heading3"/>
        <w:numPr>
          <w:ilvl w:val="0"/>
          <w:numId w:val="31"/>
        </w:numPr>
        <w:jc w:val="both"/>
      </w:pPr>
      <w:r w:rsidRPr="00044A64">
        <w:t>primary metrics</w:t>
      </w:r>
    </w:p>
    <w:p w:rsidR="00044A64" w:rsidRDefault="00044A64" w:rsidP="00577FDA">
      <w:pPr>
        <w:pStyle w:val="ListParagraph"/>
        <w:numPr>
          <w:ilvl w:val="0"/>
          <w:numId w:val="32"/>
        </w:numPr>
        <w:ind w:left="1134"/>
        <w:jc w:val="both"/>
      </w:pPr>
      <w:r w:rsidRPr="00044A64">
        <w:t>“The BCNN-MC Dropout model achieved a testing accuracy of 97.68%, with precision, recall, and F1-score all at 97%.”</w:t>
      </w:r>
    </w:p>
    <w:p w:rsidR="00044A64" w:rsidRDefault="00044A64" w:rsidP="00577FDA">
      <w:pPr>
        <w:pStyle w:val="ListParagraph"/>
        <w:numPr>
          <w:ilvl w:val="0"/>
          <w:numId w:val="32"/>
        </w:numPr>
        <w:ind w:left="1134"/>
        <w:jc w:val="both"/>
      </w:pPr>
      <w:r w:rsidRPr="00044A64">
        <w:t>“The BCNN-MFVI model achieved a testing accuracy of 94.23%, with precision at 94%, recall at 93%, and F1-score at 94%.”</w:t>
      </w:r>
    </w:p>
    <w:p w:rsidR="00044A64" w:rsidRPr="00044A64" w:rsidRDefault="00044A64" w:rsidP="00577FDA">
      <w:pPr>
        <w:pStyle w:val="ListParagraph"/>
        <w:numPr>
          <w:ilvl w:val="0"/>
          <w:numId w:val="32"/>
        </w:numPr>
        <w:ind w:left="1134"/>
        <w:jc w:val="both"/>
      </w:pPr>
      <w:r w:rsidRPr="00044A64">
        <w:t>“The BCNN-Deterministic model achieved a testing accuracy of 91.44%, with precision at 92%, recall at 91%, and F1-score at 91%.”</w:t>
      </w:r>
    </w:p>
    <w:p w:rsidR="00044A64" w:rsidRDefault="00044A64" w:rsidP="009A5EF9">
      <w:pPr>
        <w:pStyle w:val="Heading3"/>
        <w:numPr>
          <w:ilvl w:val="0"/>
          <w:numId w:val="31"/>
        </w:numPr>
        <w:jc w:val="both"/>
      </w:pPr>
      <w:r w:rsidRPr="00044A64">
        <w:t>secondary metrics</w:t>
      </w:r>
    </w:p>
    <w:p w:rsidR="00044A64" w:rsidRDefault="00044A64" w:rsidP="009A5EF9">
      <w:pPr>
        <w:pStyle w:val="ListParagraph"/>
        <w:numPr>
          <w:ilvl w:val="0"/>
          <w:numId w:val="32"/>
        </w:numPr>
        <w:ind w:left="1134"/>
        <w:jc w:val="both"/>
      </w:pPr>
      <w:r w:rsidRPr="00044A64">
        <w:t>“Receiver operating characteristic (ROC) curves showed that for the BCNN-MC Dropout model, No-DR and Mild DR achieved the highest AUC values (98%), followed by Moderate, Severe, and Proliferative DR, each with 97% AUC.”</w:t>
      </w:r>
    </w:p>
    <w:p w:rsidR="00044A64" w:rsidRDefault="00044A64" w:rsidP="00577FDA">
      <w:pPr>
        <w:pStyle w:val="ListParagraph"/>
        <w:numPr>
          <w:ilvl w:val="0"/>
          <w:numId w:val="32"/>
        </w:numPr>
        <w:ind w:left="1134"/>
        <w:jc w:val="both"/>
      </w:pPr>
      <w:r w:rsidRPr="00044A64">
        <w:lastRenderedPageBreak/>
        <w:t>“The BCNN-MFVI model had AUC values of 96% for Mild and Proliferative DR, 95% for No-DR, and 85% for Moderate and Severe DR.”</w:t>
      </w:r>
    </w:p>
    <w:p w:rsidR="00044A64" w:rsidRPr="00044A64" w:rsidRDefault="00044A64" w:rsidP="009A5EF9">
      <w:pPr>
        <w:pStyle w:val="ListParagraph"/>
        <w:numPr>
          <w:ilvl w:val="0"/>
          <w:numId w:val="32"/>
        </w:numPr>
        <w:ind w:left="1134"/>
        <w:jc w:val="both"/>
      </w:pPr>
      <w:r w:rsidRPr="00044A64">
        <w:t>“The BCNN-Deterministic model performed best with No-DR and Proliferative DR at 96%, Mild DR at 93%, and Moderate and Severe DR with average AUCs.”</w:t>
      </w:r>
    </w:p>
    <w:p w:rsidR="00044A64" w:rsidRDefault="00044A64" w:rsidP="009A5EF9">
      <w:pPr>
        <w:pStyle w:val="Heading3"/>
        <w:numPr>
          <w:ilvl w:val="0"/>
          <w:numId w:val="31"/>
        </w:numPr>
        <w:jc w:val="both"/>
      </w:pPr>
      <w:r w:rsidRPr="00044A64">
        <w:t>robustness and external validation</w:t>
      </w:r>
    </w:p>
    <w:p w:rsidR="00044A64" w:rsidRDefault="00044A64" w:rsidP="009A5EF9">
      <w:pPr>
        <w:pStyle w:val="ListParagraph"/>
        <w:numPr>
          <w:ilvl w:val="0"/>
          <w:numId w:val="32"/>
        </w:numPr>
        <w:ind w:left="1134"/>
        <w:jc w:val="both"/>
      </w:pPr>
      <w:r w:rsidRPr="00044A64">
        <w:t>“We verified the robustness of our proposed models by injecting Gaussian noise into the testing set. After adding noise at different intensity levels, we evaluated model performance using accuracy, precision, recall, and F1-score.”</w:t>
      </w:r>
    </w:p>
    <w:p w:rsidR="00044A64" w:rsidRDefault="00044A64" w:rsidP="00577FDA">
      <w:pPr>
        <w:pStyle w:val="ListParagraph"/>
        <w:numPr>
          <w:ilvl w:val="0"/>
          <w:numId w:val="32"/>
        </w:numPr>
        <w:ind w:left="1134"/>
        <w:jc w:val="both"/>
      </w:pPr>
      <w:r w:rsidRPr="00044A64">
        <w:t>“The BCNN-MC Dropout model performed consistently well even on noisy test data, indicating high robustness.”</w:t>
      </w:r>
    </w:p>
    <w:p w:rsidR="00044A64" w:rsidRPr="00044A64" w:rsidRDefault="00044A64" w:rsidP="00577FDA">
      <w:pPr>
        <w:pStyle w:val="ListParagraph"/>
        <w:numPr>
          <w:ilvl w:val="0"/>
          <w:numId w:val="32"/>
        </w:numPr>
        <w:ind w:left="1134"/>
        <w:jc w:val="both"/>
      </w:pPr>
      <w:r w:rsidRPr="00044A64">
        <w:t>“Other models like BCNN-MFVI and BCNN-Deterministic also performed well under noisy conditions.”</w:t>
      </w:r>
    </w:p>
    <w:p w:rsidR="00044A64" w:rsidRDefault="00044A64" w:rsidP="009A5EF9">
      <w:pPr>
        <w:pStyle w:val="Heading3"/>
        <w:numPr>
          <w:ilvl w:val="0"/>
          <w:numId w:val="31"/>
        </w:numPr>
        <w:jc w:val="both"/>
      </w:pPr>
      <w:r w:rsidRPr="00044A64">
        <w:t>subgroup analyses</w:t>
      </w:r>
    </w:p>
    <w:p w:rsidR="00044A64" w:rsidRPr="00044A64" w:rsidRDefault="00044A64" w:rsidP="009A5EF9">
      <w:pPr>
        <w:pStyle w:val="ListParagraph"/>
        <w:numPr>
          <w:ilvl w:val="0"/>
          <w:numId w:val="32"/>
        </w:numPr>
        <w:ind w:left="1134"/>
        <w:jc w:val="both"/>
      </w:pPr>
      <w:r w:rsidRPr="00044A64">
        <w:t>—Not mentioned—</w:t>
      </w:r>
    </w:p>
    <w:p w:rsidR="00044A64" w:rsidRDefault="00044A64" w:rsidP="009A5EF9">
      <w:pPr>
        <w:pStyle w:val="Heading3"/>
        <w:numPr>
          <w:ilvl w:val="0"/>
          <w:numId w:val="31"/>
        </w:numPr>
        <w:jc w:val="both"/>
      </w:pPr>
      <w:r w:rsidRPr="00044A64">
        <w:t>ablation studies</w:t>
      </w:r>
    </w:p>
    <w:p w:rsidR="00044A64" w:rsidRPr="00044A64" w:rsidRDefault="00044A64" w:rsidP="009A5EF9">
      <w:pPr>
        <w:pStyle w:val="ListParagraph"/>
        <w:numPr>
          <w:ilvl w:val="0"/>
          <w:numId w:val="32"/>
        </w:numPr>
        <w:ind w:left="1134"/>
        <w:jc w:val="both"/>
      </w:pPr>
      <w:r w:rsidRPr="00044A64">
        <w:t>—Not mentioned—</w:t>
      </w:r>
    </w:p>
    <w:p w:rsidR="00023E3D" w:rsidRDefault="00044A64" w:rsidP="009A5EF9">
      <w:pPr>
        <w:pStyle w:val="Heading3"/>
        <w:numPr>
          <w:ilvl w:val="0"/>
          <w:numId w:val="31"/>
        </w:numPr>
        <w:jc w:val="both"/>
      </w:pPr>
      <w:r w:rsidRPr="00044A64">
        <w:t>model compression and deployment results</w:t>
      </w:r>
    </w:p>
    <w:p w:rsidR="00BA2F33" w:rsidRDefault="00044A64" w:rsidP="009A5EF9">
      <w:pPr>
        <w:pStyle w:val="ListParagraph"/>
        <w:numPr>
          <w:ilvl w:val="0"/>
          <w:numId w:val="32"/>
        </w:numPr>
        <w:ind w:left="1134"/>
        <w:jc w:val="both"/>
      </w:pPr>
      <w:r w:rsidRPr="00044A64">
        <w:t>—Not mentioned—</w:t>
      </w:r>
    </w:p>
    <w:p w:rsidR="00BA2F33" w:rsidRDefault="00BA2F33" w:rsidP="009A5EF9">
      <w:pPr>
        <w:ind w:left="1134"/>
        <w:jc w:val="both"/>
      </w:pPr>
    </w:p>
    <w:p w:rsidR="00023E3D" w:rsidRDefault="00023E3D" w:rsidP="009A5EF9">
      <w:pPr>
        <w:pStyle w:val="Heading1"/>
        <w:jc w:val="both"/>
      </w:pPr>
      <w:r w:rsidRPr="00023E3D">
        <w:t>The role of artificial intelligence in diabetic retinopathy screening in type 1 diabetes: A systematic review</w:t>
      </w:r>
      <w:r>
        <w:t xml:space="preserve">  - 2025</w:t>
      </w:r>
    </w:p>
    <w:p w:rsidR="00023E3D" w:rsidRDefault="00023E3D" w:rsidP="009A5EF9">
      <w:pPr>
        <w:pStyle w:val="Subtitle"/>
        <w:jc w:val="both"/>
      </w:pPr>
      <w:r>
        <w:t>https://doi.org/10.1016/j.jdiacomp.2025.109139</w:t>
      </w:r>
    </w:p>
    <w:p w:rsidR="00023E3D" w:rsidRDefault="00023E3D" w:rsidP="009A5EF9">
      <w:pPr>
        <w:ind w:left="1134"/>
        <w:jc w:val="both"/>
      </w:pPr>
    </w:p>
    <w:p w:rsidR="00023E3D" w:rsidRPr="00023E3D" w:rsidRDefault="00023E3D" w:rsidP="009A5EF9">
      <w:pPr>
        <w:pStyle w:val="Heading2"/>
        <w:jc w:val="both"/>
      </w:pPr>
      <w:r w:rsidRPr="00023E3D">
        <w:t>Data and Ethics</w:t>
      </w:r>
    </w:p>
    <w:p w:rsidR="00023E3D" w:rsidRDefault="00023E3D" w:rsidP="009A5EF9">
      <w:pPr>
        <w:pStyle w:val="Heading3"/>
        <w:numPr>
          <w:ilvl w:val="0"/>
          <w:numId w:val="31"/>
        </w:numPr>
        <w:jc w:val="both"/>
      </w:pPr>
      <w:r w:rsidRPr="00023E3D">
        <w:t>datasets used</w:t>
      </w:r>
    </w:p>
    <w:p w:rsidR="00023E3D" w:rsidRPr="00023E3D" w:rsidRDefault="00023E3D" w:rsidP="009A5EF9">
      <w:pPr>
        <w:pStyle w:val="ListParagraph"/>
        <w:numPr>
          <w:ilvl w:val="0"/>
          <w:numId w:val="32"/>
        </w:numPr>
        <w:ind w:left="1134"/>
        <w:jc w:val="both"/>
      </w:pPr>
      <w:r w:rsidRPr="00023E3D">
        <w:t xml:space="preserve">“Searches were conducted in </w:t>
      </w:r>
      <w:r w:rsidRPr="00A25A6E">
        <w:rPr>
          <w:highlight w:val="green"/>
        </w:rPr>
        <w:t>PubMed/Medline</w:t>
      </w:r>
      <w:r w:rsidRPr="00023E3D">
        <w:t xml:space="preserve">, </w:t>
      </w:r>
      <w:r w:rsidRPr="00A25A6E">
        <w:rPr>
          <w:highlight w:val="green"/>
        </w:rPr>
        <w:t>Scopus</w:t>
      </w:r>
      <w:r w:rsidRPr="00023E3D">
        <w:t xml:space="preserve">, and </w:t>
      </w:r>
      <w:r w:rsidRPr="00A25A6E">
        <w:rPr>
          <w:highlight w:val="green"/>
        </w:rPr>
        <w:t>Embase</w:t>
      </w:r>
      <w:r w:rsidRPr="00023E3D">
        <w:t xml:space="preserve"> databases up to October 31, 2024. The final review included 8 studies with a total of </w:t>
      </w:r>
      <w:r w:rsidRPr="00A25A6E">
        <w:rPr>
          <w:highlight w:val="green"/>
        </w:rPr>
        <w:t>2717 participants</w:t>
      </w:r>
      <w:r w:rsidRPr="00023E3D">
        <w:t xml:space="preserve"> (1470 with T1D). Three studies employed autonomous AI systems, two used ML models, and three implemented DL techniques. The datasets </w:t>
      </w:r>
      <w:r w:rsidRPr="00023E3D">
        <w:lastRenderedPageBreak/>
        <w:t>comprised retinal fundus photographs, continuous glucose monitoring data, and other clinical and molecular measurements.”</w:t>
      </w:r>
    </w:p>
    <w:p w:rsidR="00023E3D" w:rsidRPr="00023E3D" w:rsidRDefault="00023E3D" w:rsidP="009A5EF9">
      <w:pPr>
        <w:pStyle w:val="Heading3"/>
        <w:numPr>
          <w:ilvl w:val="0"/>
          <w:numId w:val="31"/>
        </w:numPr>
        <w:jc w:val="both"/>
      </w:pPr>
      <w:r w:rsidRPr="00023E3D">
        <w:t>inclusion/exclusion criteria</w:t>
      </w:r>
    </w:p>
    <w:p w:rsidR="00023E3D" w:rsidRPr="00023E3D" w:rsidRDefault="00023E3D" w:rsidP="009A5EF9">
      <w:pPr>
        <w:pStyle w:val="ListParagraph"/>
        <w:numPr>
          <w:ilvl w:val="0"/>
          <w:numId w:val="32"/>
        </w:numPr>
        <w:ind w:left="1134"/>
        <w:jc w:val="both"/>
      </w:pPr>
      <w:r w:rsidRPr="00023E3D">
        <w:t xml:space="preserve">“Inclusion criteria encompassed primary studies published in English within the last 5 years, </w:t>
      </w:r>
      <w:r w:rsidRPr="00A25A6E">
        <w:rPr>
          <w:highlight w:val="green"/>
        </w:rPr>
        <w:t>involving adult or young individuals</w:t>
      </w:r>
      <w:r w:rsidRPr="00023E3D">
        <w:t xml:space="preserve"> with T1D undergoing DR screening. Exclusion criteria eliminated editorials, comments, reviews, protocol studies, pediatric populations </w:t>
      </w:r>
      <w:r w:rsidRPr="00A25A6E">
        <w:rPr>
          <w:highlight w:val="green"/>
        </w:rPr>
        <w:t>(&lt;14 years</w:t>
      </w:r>
      <w:r w:rsidRPr="00023E3D">
        <w:t>), and manuscripts written in Chinese.”</w:t>
      </w:r>
    </w:p>
    <w:p w:rsidR="00023E3D" w:rsidRPr="00023E3D" w:rsidRDefault="00023E3D" w:rsidP="009A5EF9">
      <w:pPr>
        <w:pStyle w:val="Heading3"/>
        <w:numPr>
          <w:ilvl w:val="0"/>
          <w:numId w:val="31"/>
        </w:numPr>
        <w:jc w:val="both"/>
      </w:pPr>
      <w:r w:rsidRPr="00023E3D">
        <w:t>ethical considerations</w:t>
      </w:r>
    </w:p>
    <w:p w:rsidR="00023E3D" w:rsidRPr="00023E3D" w:rsidRDefault="00023E3D" w:rsidP="009A5EF9">
      <w:pPr>
        <w:pStyle w:val="ListParagraph"/>
        <w:numPr>
          <w:ilvl w:val="0"/>
          <w:numId w:val="32"/>
        </w:numPr>
        <w:ind w:left="1134"/>
        <w:jc w:val="both"/>
      </w:pPr>
      <w:r w:rsidRPr="00023E3D">
        <w:t>—Not mentioned—</w:t>
      </w:r>
    </w:p>
    <w:p w:rsidR="00023E3D" w:rsidRPr="00023E3D" w:rsidRDefault="00023E3D" w:rsidP="009A5EF9">
      <w:pPr>
        <w:pStyle w:val="Heading2"/>
        <w:jc w:val="both"/>
      </w:pPr>
      <w:r w:rsidRPr="00023E3D">
        <w:t>Preprocessing and Quality Control</w:t>
      </w:r>
    </w:p>
    <w:p w:rsidR="00023E3D" w:rsidRPr="00023E3D" w:rsidRDefault="00023E3D" w:rsidP="009A5EF9">
      <w:pPr>
        <w:pStyle w:val="Heading3"/>
        <w:numPr>
          <w:ilvl w:val="0"/>
          <w:numId w:val="31"/>
        </w:numPr>
        <w:jc w:val="both"/>
      </w:pPr>
      <w:r w:rsidRPr="00023E3D">
        <w:t>image cleaning and normalization</w:t>
      </w:r>
    </w:p>
    <w:p w:rsidR="00023E3D" w:rsidRPr="00023E3D" w:rsidRDefault="00023E3D" w:rsidP="009A5EF9">
      <w:pPr>
        <w:pStyle w:val="ListParagraph"/>
        <w:numPr>
          <w:ilvl w:val="0"/>
          <w:numId w:val="32"/>
        </w:numPr>
        <w:ind w:left="1134"/>
        <w:jc w:val="both"/>
      </w:pPr>
      <w:r w:rsidRPr="00023E3D">
        <w:t xml:space="preserve">“Retinal images were acquired using </w:t>
      </w:r>
      <w:r w:rsidRPr="00A25A6E">
        <w:rPr>
          <w:highlight w:val="green"/>
        </w:rPr>
        <w:t>fundus photography or wide-field imaging devices</w:t>
      </w:r>
      <w:r w:rsidRPr="00023E3D">
        <w:t>. Images were graded according to reference standards (ETDRS) or processed through AI systems, ML, or DL models for screening and prediction of DR and complications.”</w:t>
      </w:r>
    </w:p>
    <w:p w:rsidR="00023E3D" w:rsidRPr="00023E3D" w:rsidRDefault="00023E3D" w:rsidP="009A5EF9">
      <w:pPr>
        <w:pStyle w:val="Heading3"/>
        <w:numPr>
          <w:ilvl w:val="0"/>
          <w:numId w:val="31"/>
        </w:numPr>
        <w:jc w:val="both"/>
      </w:pPr>
      <w:r w:rsidRPr="00023E3D">
        <w:t>augmentation strategies</w:t>
      </w:r>
    </w:p>
    <w:p w:rsidR="00023E3D" w:rsidRPr="00023E3D" w:rsidRDefault="00023E3D" w:rsidP="009A5EF9">
      <w:pPr>
        <w:pStyle w:val="ListParagraph"/>
        <w:numPr>
          <w:ilvl w:val="0"/>
          <w:numId w:val="32"/>
        </w:numPr>
        <w:ind w:left="1134"/>
        <w:jc w:val="both"/>
      </w:pPr>
      <w:r w:rsidRPr="00023E3D">
        <w:t>—Not mentioned—</w:t>
      </w:r>
    </w:p>
    <w:p w:rsidR="00023E3D" w:rsidRPr="00023E3D" w:rsidRDefault="00023E3D" w:rsidP="009A5EF9">
      <w:pPr>
        <w:pStyle w:val="Heading3"/>
        <w:numPr>
          <w:ilvl w:val="0"/>
          <w:numId w:val="31"/>
        </w:numPr>
        <w:jc w:val="both"/>
      </w:pPr>
      <w:r w:rsidRPr="00023E3D">
        <w:t>handling class imbalance</w:t>
      </w:r>
    </w:p>
    <w:p w:rsidR="00023E3D" w:rsidRPr="00023E3D" w:rsidRDefault="00023E3D" w:rsidP="009A5EF9">
      <w:pPr>
        <w:pStyle w:val="ListParagraph"/>
        <w:numPr>
          <w:ilvl w:val="0"/>
          <w:numId w:val="32"/>
        </w:numPr>
        <w:ind w:left="1134"/>
        <w:jc w:val="both"/>
      </w:pPr>
      <w:r w:rsidRPr="00023E3D">
        <w:t xml:space="preserve">“Some studies used autonomous AI systems validated against certified clinical reference standards. ML studies included feature selection (e.g., </w:t>
      </w:r>
      <w:r w:rsidRPr="00A25A6E">
        <w:rPr>
          <w:highlight w:val="green"/>
        </w:rPr>
        <w:t>PCA</w:t>
      </w:r>
      <w:r w:rsidRPr="00023E3D">
        <w:t>) to refine predictive performance. DL models were trained on public and single-center datasets with varying T1D representation, assessing cross-dataset performance.”</w:t>
      </w:r>
    </w:p>
    <w:p w:rsidR="00023E3D" w:rsidRPr="00023E3D" w:rsidRDefault="00023E3D" w:rsidP="009A5EF9">
      <w:pPr>
        <w:pStyle w:val="Heading2"/>
        <w:jc w:val="both"/>
      </w:pPr>
      <w:r w:rsidRPr="00023E3D">
        <w:t>Results</w:t>
      </w:r>
    </w:p>
    <w:p w:rsidR="00023E3D" w:rsidRPr="00023E3D" w:rsidRDefault="00023E3D" w:rsidP="009A5EF9">
      <w:pPr>
        <w:pStyle w:val="Heading3"/>
        <w:numPr>
          <w:ilvl w:val="0"/>
          <w:numId w:val="31"/>
        </w:numPr>
        <w:jc w:val="both"/>
      </w:pPr>
      <w:r w:rsidRPr="00023E3D">
        <w:t>primary metrics</w:t>
      </w:r>
    </w:p>
    <w:p w:rsidR="00023E3D" w:rsidRPr="00023E3D" w:rsidRDefault="00023E3D" w:rsidP="009A5EF9">
      <w:pPr>
        <w:pStyle w:val="ListParagraph"/>
        <w:numPr>
          <w:ilvl w:val="0"/>
          <w:numId w:val="32"/>
        </w:numPr>
        <w:ind w:left="1134"/>
        <w:jc w:val="both"/>
      </w:pPr>
      <w:r w:rsidRPr="00023E3D">
        <w:t>“Autonomous AI systems demonstrated high sensitivity (96–100 %) and specificity (87.7–90.9 %) for detecting DR, with AUCs ranging 0.91–0.96. ML models achieved AUC-ROC of 0.90–0.92 (CGM data) and 0.75–0.79 (clinical and molecular data). DL models achieved accuracy of 82.8 %, sensitivity 81 %, specificity 73.5 %, and AUC 0.81 on UWF images, with cross-dataset AUC ranging 0.57–0.91.”</w:t>
      </w:r>
    </w:p>
    <w:p w:rsidR="00023E3D" w:rsidRPr="00023E3D" w:rsidRDefault="00023E3D" w:rsidP="009A5EF9">
      <w:pPr>
        <w:pStyle w:val="Heading3"/>
        <w:numPr>
          <w:ilvl w:val="0"/>
          <w:numId w:val="31"/>
        </w:numPr>
        <w:jc w:val="both"/>
      </w:pPr>
      <w:r w:rsidRPr="00023E3D">
        <w:lastRenderedPageBreak/>
        <w:t>secondary metrics</w:t>
      </w:r>
    </w:p>
    <w:p w:rsidR="00023E3D" w:rsidRPr="00023E3D" w:rsidRDefault="00023E3D" w:rsidP="009A5EF9">
      <w:pPr>
        <w:pStyle w:val="ListParagraph"/>
        <w:numPr>
          <w:ilvl w:val="0"/>
          <w:numId w:val="32"/>
        </w:numPr>
        <w:ind w:left="1134"/>
        <w:jc w:val="both"/>
      </w:pPr>
      <w:r w:rsidRPr="00023E3D">
        <w:t>“Follow-up adherence improved with AI interventions (up to 51.5 % vs 39.6 % in control), and participant satisfaction was high (93.7 %). Models identified key predictive biomarkers for DR progression in clinical and molecular datasets.”</w:t>
      </w:r>
    </w:p>
    <w:p w:rsidR="00023E3D" w:rsidRPr="00023E3D" w:rsidRDefault="00023E3D" w:rsidP="009A5EF9">
      <w:pPr>
        <w:pStyle w:val="Heading3"/>
        <w:numPr>
          <w:ilvl w:val="0"/>
          <w:numId w:val="31"/>
        </w:numPr>
        <w:jc w:val="both"/>
      </w:pPr>
      <w:r w:rsidRPr="00023E3D">
        <w:t>robustness and external validation</w:t>
      </w:r>
    </w:p>
    <w:p w:rsidR="00023E3D" w:rsidRPr="00023E3D" w:rsidRDefault="00023E3D" w:rsidP="009A5EF9">
      <w:pPr>
        <w:pStyle w:val="ListParagraph"/>
        <w:numPr>
          <w:ilvl w:val="0"/>
          <w:numId w:val="32"/>
        </w:numPr>
        <w:ind w:left="1134"/>
        <w:jc w:val="both"/>
      </w:pPr>
      <w:r w:rsidRPr="00023E3D">
        <w:t xml:space="preserve">“Cross-dataset validation in DL studies revealed </w:t>
      </w:r>
      <w:r w:rsidRPr="00A25A6E">
        <w:rPr>
          <w:highlight w:val="green"/>
        </w:rPr>
        <w:t>performance drops when models trained on heterogeneous datasets</w:t>
      </w:r>
      <w:r w:rsidRPr="00023E3D">
        <w:t xml:space="preserve"> were applied to T1D-specific datasets, highlighting the importance of dataset-specific training. Autonomous AI systems were validated against certified clinical reference standards across multiple sites.”</w:t>
      </w:r>
    </w:p>
    <w:p w:rsidR="00023E3D" w:rsidRPr="00023E3D" w:rsidRDefault="00023E3D" w:rsidP="009A5EF9">
      <w:pPr>
        <w:pStyle w:val="Heading3"/>
        <w:numPr>
          <w:ilvl w:val="0"/>
          <w:numId w:val="31"/>
        </w:numPr>
        <w:jc w:val="both"/>
      </w:pPr>
      <w:r w:rsidRPr="00023E3D">
        <w:t>subgroup analyses</w:t>
      </w:r>
    </w:p>
    <w:p w:rsidR="00023E3D" w:rsidRPr="00023E3D" w:rsidRDefault="00023E3D" w:rsidP="009A5EF9">
      <w:pPr>
        <w:pStyle w:val="ListParagraph"/>
        <w:numPr>
          <w:ilvl w:val="0"/>
          <w:numId w:val="32"/>
        </w:numPr>
        <w:ind w:left="1134"/>
        <w:jc w:val="both"/>
      </w:pPr>
      <w:r w:rsidRPr="00023E3D">
        <w:t>“Subgroup analyses in autonomous AI studies revealed higher diagnostic accuracy in T1D compared to T2D (sensitivity: 100 %, specificity: 90.9 %, AUC: 0.96).”</w:t>
      </w:r>
    </w:p>
    <w:p w:rsidR="00023E3D" w:rsidRPr="00023E3D" w:rsidRDefault="00023E3D" w:rsidP="009A5EF9">
      <w:pPr>
        <w:pStyle w:val="Heading3"/>
        <w:numPr>
          <w:ilvl w:val="0"/>
          <w:numId w:val="31"/>
        </w:numPr>
        <w:jc w:val="both"/>
      </w:pPr>
      <w:r w:rsidRPr="00023E3D">
        <w:t>ablation studies</w:t>
      </w:r>
    </w:p>
    <w:p w:rsidR="00023E3D" w:rsidRPr="00023E3D" w:rsidRDefault="00023E3D" w:rsidP="009A5EF9">
      <w:pPr>
        <w:pStyle w:val="ListParagraph"/>
        <w:numPr>
          <w:ilvl w:val="0"/>
          <w:numId w:val="32"/>
        </w:numPr>
        <w:ind w:left="1134"/>
        <w:jc w:val="both"/>
      </w:pPr>
      <w:r w:rsidRPr="00023E3D">
        <w:t>—Not mentioned—</w:t>
      </w:r>
    </w:p>
    <w:p w:rsidR="00023E3D" w:rsidRPr="00023E3D" w:rsidRDefault="00023E3D" w:rsidP="009A5EF9">
      <w:pPr>
        <w:pStyle w:val="Heading3"/>
        <w:numPr>
          <w:ilvl w:val="0"/>
          <w:numId w:val="31"/>
        </w:numPr>
        <w:jc w:val="both"/>
      </w:pPr>
      <w:r w:rsidRPr="00023E3D">
        <w:t>model compression and deployment results</w:t>
      </w:r>
    </w:p>
    <w:p w:rsidR="00023E3D" w:rsidRPr="00023E3D" w:rsidRDefault="00023E3D" w:rsidP="009A5EF9">
      <w:pPr>
        <w:pStyle w:val="ListParagraph"/>
        <w:numPr>
          <w:ilvl w:val="0"/>
          <w:numId w:val="32"/>
        </w:numPr>
        <w:ind w:left="1134"/>
        <w:jc w:val="both"/>
      </w:pPr>
      <w:r w:rsidRPr="00023E3D">
        <w:t>—Not mentioned—</w:t>
      </w:r>
    </w:p>
    <w:p w:rsidR="009E1563" w:rsidRPr="00BA2F33" w:rsidRDefault="009E1563" w:rsidP="009E1563">
      <w:pPr>
        <w:jc w:val="both"/>
      </w:pPr>
    </w:p>
    <w:sectPr w:rsidR="009E1563" w:rsidRPr="00BA2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A0"/>
    <w:multiLevelType w:val="hybridMultilevel"/>
    <w:tmpl w:val="6F14D7B2"/>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C0666"/>
    <w:multiLevelType w:val="hybridMultilevel"/>
    <w:tmpl w:val="934C6FB8"/>
    <w:lvl w:ilvl="0" w:tplc="45EA8B7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303B9"/>
    <w:multiLevelType w:val="hybridMultilevel"/>
    <w:tmpl w:val="2166C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42492"/>
    <w:multiLevelType w:val="multilevel"/>
    <w:tmpl w:val="6E7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283C"/>
    <w:multiLevelType w:val="hybridMultilevel"/>
    <w:tmpl w:val="70AC0086"/>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C7F52"/>
    <w:multiLevelType w:val="multilevel"/>
    <w:tmpl w:val="98F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C390E"/>
    <w:multiLevelType w:val="hybridMultilevel"/>
    <w:tmpl w:val="B088D422"/>
    <w:lvl w:ilvl="0" w:tplc="89340E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4C028F"/>
    <w:multiLevelType w:val="multilevel"/>
    <w:tmpl w:val="A64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1"/>
      <w:numFmt w:val="bullet"/>
      <w:lvlText w:val="-"/>
      <w:lvlJc w:val="left"/>
      <w:pPr>
        <w:ind w:left="2160" w:hanging="360"/>
      </w:pPr>
      <w:rPr>
        <w:rFonts w:ascii="Aptos" w:eastAsiaTheme="minorHAnsi" w:hAnsi="Aptos" w:cstheme="minorBidi" w:hint="default"/>
      </w:rPr>
    </w:lvl>
    <w:lvl w:ilvl="3">
      <w:numFmt w:val="bullet"/>
      <w:lvlText w:val="•"/>
      <w:lvlJc w:val="left"/>
      <w:pPr>
        <w:ind w:left="2880" w:hanging="360"/>
      </w:pPr>
      <w:rPr>
        <w:rFonts w:ascii="Aptos Display" w:eastAsiaTheme="majorEastAsia" w:hAnsi="Aptos Display" w:cstheme="maj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A2DF4"/>
    <w:multiLevelType w:val="hybridMultilevel"/>
    <w:tmpl w:val="4F34E7EA"/>
    <w:lvl w:ilvl="0" w:tplc="E55C90D2">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04D4E"/>
    <w:multiLevelType w:val="hybridMultilevel"/>
    <w:tmpl w:val="C34CE116"/>
    <w:lvl w:ilvl="0" w:tplc="046AB10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B10E3A"/>
    <w:multiLevelType w:val="hybridMultilevel"/>
    <w:tmpl w:val="067C2782"/>
    <w:lvl w:ilvl="0" w:tplc="35EACA5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861A7"/>
    <w:multiLevelType w:val="multilevel"/>
    <w:tmpl w:val="03D2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3957"/>
    <w:multiLevelType w:val="multilevel"/>
    <w:tmpl w:val="F5D6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528A7"/>
    <w:multiLevelType w:val="hybridMultilevel"/>
    <w:tmpl w:val="1F9E3B56"/>
    <w:lvl w:ilvl="0" w:tplc="D86E7FB0">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353E91"/>
    <w:multiLevelType w:val="hybridMultilevel"/>
    <w:tmpl w:val="4EBC19FA"/>
    <w:lvl w:ilvl="0" w:tplc="9C866580">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66C11"/>
    <w:multiLevelType w:val="hybridMultilevel"/>
    <w:tmpl w:val="1EE211EC"/>
    <w:lvl w:ilvl="0" w:tplc="B1B29394">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014FB5"/>
    <w:multiLevelType w:val="multilevel"/>
    <w:tmpl w:val="1EDC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11F3"/>
    <w:multiLevelType w:val="multilevel"/>
    <w:tmpl w:val="AF5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06D26"/>
    <w:multiLevelType w:val="multilevel"/>
    <w:tmpl w:val="0FB2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D4044"/>
    <w:multiLevelType w:val="hybridMultilevel"/>
    <w:tmpl w:val="D0D40232"/>
    <w:lvl w:ilvl="0" w:tplc="E17611BC">
      <w:start w:val="1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D52985"/>
    <w:multiLevelType w:val="multilevel"/>
    <w:tmpl w:val="1DE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00866"/>
    <w:multiLevelType w:val="multilevel"/>
    <w:tmpl w:val="B05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51691"/>
    <w:multiLevelType w:val="hybridMultilevel"/>
    <w:tmpl w:val="1BF01E84"/>
    <w:lvl w:ilvl="0" w:tplc="67C455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0E72B4"/>
    <w:multiLevelType w:val="hybridMultilevel"/>
    <w:tmpl w:val="3EF48AB2"/>
    <w:lvl w:ilvl="0" w:tplc="732273C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794555"/>
    <w:multiLevelType w:val="hybridMultilevel"/>
    <w:tmpl w:val="57027FEA"/>
    <w:lvl w:ilvl="0" w:tplc="8B66312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0F28DF"/>
    <w:multiLevelType w:val="multilevel"/>
    <w:tmpl w:val="52A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D75E6"/>
    <w:multiLevelType w:val="hybridMultilevel"/>
    <w:tmpl w:val="819018D0"/>
    <w:lvl w:ilvl="0" w:tplc="C3C27F7E">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21C00"/>
    <w:multiLevelType w:val="multilevel"/>
    <w:tmpl w:val="9EF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D3FA5"/>
    <w:multiLevelType w:val="hybridMultilevel"/>
    <w:tmpl w:val="57CC9866"/>
    <w:lvl w:ilvl="0" w:tplc="E14CD852">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A40A7C"/>
    <w:multiLevelType w:val="multilevel"/>
    <w:tmpl w:val="B59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F6FB7"/>
    <w:multiLevelType w:val="hybridMultilevel"/>
    <w:tmpl w:val="07F24616"/>
    <w:lvl w:ilvl="0" w:tplc="4DD0945C">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571063"/>
    <w:multiLevelType w:val="hybridMultilevel"/>
    <w:tmpl w:val="2FF64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9882156">
    <w:abstractNumId w:val="1"/>
  </w:num>
  <w:num w:numId="2" w16cid:durableId="1017387021">
    <w:abstractNumId w:val="16"/>
  </w:num>
  <w:num w:numId="3" w16cid:durableId="2057653700">
    <w:abstractNumId w:val="25"/>
  </w:num>
  <w:num w:numId="4" w16cid:durableId="2045060962">
    <w:abstractNumId w:val="11"/>
  </w:num>
  <w:num w:numId="5" w16cid:durableId="1505969406">
    <w:abstractNumId w:val="5"/>
  </w:num>
  <w:num w:numId="6" w16cid:durableId="766120659">
    <w:abstractNumId w:val="3"/>
  </w:num>
  <w:num w:numId="7" w16cid:durableId="764114591">
    <w:abstractNumId w:val="20"/>
  </w:num>
  <w:num w:numId="8" w16cid:durableId="332874500">
    <w:abstractNumId w:val="29"/>
  </w:num>
  <w:num w:numId="9" w16cid:durableId="82192824">
    <w:abstractNumId w:val="17"/>
  </w:num>
  <w:num w:numId="10" w16cid:durableId="818226657">
    <w:abstractNumId w:val="18"/>
  </w:num>
  <w:num w:numId="11" w16cid:durableId="2106924981">
    <w:abstractNumId w:val="21"/>
  </w:num>
  <w:num w:numId="12" w16cid:durableId="694112013">
    <w:abstractNumId w:val="12"/>
  </w:num>
  <w:num w:numId="13" w16cid:durableId="1676834455">
    <w:abstractNumId w:val="27"/>
  </w:num>
  <w:num w:numId="14" w16cid:durableId="1322388849">
    <w:abstractNumId w:val="7"/>
  </w:num>
  <w:num w:numId="15" w16cid:durableId="235940555">
    <w:abstractNumId w:val="13"/>
  </w:num>
  <w:num w:numId="16" w16cid:durableId="1151169866">
    <w:abstractNumId w:val="19"/>
  </w:num>
  <w:num w:numId="17" w16cid:durableId="1324511225">
    <w:abstractNumId w:val="8"/>
  </w:num>
  <w:num w:numId="18" w16cid:durableId="2128155852">
    <w:abstractNumId w:val="31"/>
  </w:num>
  <w:num w:numId="19" w16cid:durableId="1062751523">
    <w:abstractNumId w:val="2"/>
  </w:num>
  <w:num w:numId="20" w16cid:durableId="1447772500">
    <w:abstractNumId w:val="9"/>
  </w:num>
  <w:num w:numId="21" w16cid:durableId="615018325">
    <w:abstractNumId w:val="14"/>
  </w:num>
  <w:num w:numId="22" w16cid:durableId="1188980497">
    <w:abstractNumId w:val="23"/>
  </w:num>
  <w:num w:numId="23" w16cid:durableId="2044867891">
    <w:abstractNumId w:val="10"/>
  </w:num>
  <w:num w:numId="24" w16cid:durableId="2028436657">
    <w:abstractNumId w:val="28"/>
  </w:num>
  <w:num w:numId="25" w16cid:durableId="1005744217">
    <w:abstractNumId w:val="26"/>
  </w:num>
  <w:num w:numId="26" w16cid:durableId="1719813348">
    <w:abstractNumId w:val="30"/>
  </w:num>
  <w:num w:numId="27" w16cid:durableId="839738636">
    <w:abstractNumId w:val="24"/>
  </w:num>
  <w:num w:numId="28" w16cid:durableId="2106728928">
    <w:abstractNumId w:val="22"/>
  </w:num>
  <w:num w:numId="29" w16cid:durableId="1336110639">
    <w:abstractNumId w:val="6"/>
  </w:num>
  <w:num w:numId="30" w16cid:durableId="60644990">
    <w:abstractNumId w:val="15"/>
  </w:num>
  <w:num w:numId="31" w16cid:durableId="968122390">
    <w:abstractNumId w:val="4"/>
  </w:num>
  <w:num w:numId="32" w16cid:durableId="159142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10"/>
    <w:rsid w:val="00023E3D"/>
    <w:rsid w:val="00044A64"/>
    <w:rsid w:val="000A475A"/>
    <w:rsid w:val="000C59DD"/>
    <w:rsid w:val="00406B10"/>
    <w:rsid w:val="004840BA"/>
    <w:rsid w:val="00577FDA"/>
    <w:rsid w:val="005C4D38"/>
    <w:rsid w:val="00607B47"/>
    <w:rsid w:val="0069588D"/>
    <w:rsid w:val="006C0ABB"/>
    <w:rsid w:val="009A5EF9"/>
    <w:rsid w:val="009E1563"/>
    <w:rsid w:val="00A064EC"/>
    <w:rsid w:val="00A25A6E"/>
    <w:rsid w:val="00BA2F33"/>
    <w:rsid w:val="00C356DE"/>
    <w:rsid w:val="00DA4D8C"/>
    <w:rsid w:val="00DB527F"/>
    <w:rsid w:val="00F83180"/>
    <w:rsid w:val="00FF0E91"/>
  </w:rsids>
  <m:mathPr>
    <m:mathFont m:val="Cambria Math"/>
    <m:brkBin m:val="before"/>
    <m:brkBinSub m:val="--"/>
    <m:smallFrac m:val="0"/>
    <m:dispDef/>
    <m:lMargin m:val="0"/>
    <m:rMargin m:val="0"/>
    <m:defJc m:val="centerGroup"/>
    <m:wrapIndent m:val="1440"/>
    <m:intLim m:val="subSup"/>
    <m:naryLim m:val="undOvr"/>
  </m:mathPr>
  <w:themeFontLang w:val="en-I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E5F9"/>
  <w15:chartTrackingRefBased/>
  <w15:docId w15:val="{1EE3E64F-B9F1-FE49-BB9F-278ACB09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F33"/>
    <w:pPr>
      <w:keepNext/>
      <w:keepLines/>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Heading2">
    <w:name w:val="heading 2"/>
    <w:basedOn w:val="Normal"/>
    <w:next w:val="Normal"/>
    <w:link w:val="Heading2Char"/>
    <w:uiPriority w:val="9"/>
    <w:unhideWhenUsed/>
    <w:qFormat/>
    <w:rsid w:val="00BA2F33"/>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Heading2"/>
    <w:next w:val="Normal"/>
    <w:link w:val="Heading3Char"/>
    <w:uiPriority w:val="9"/>
    <w:unhideWhenUsed/>
    <w:qFormat/>
    <w:rsid w:val="00BA2F33"/>
    <w:pPr>
      <w:outlineLvl w:val="2"/>
    </w:pPr>
    <w:rPr>
      <w:sz w:val="28"/>
      <w:szCs w:val="28"/>
    </w:rPr>
  </w:style>
  <w:style w:type="paragraph" w:styleId="Heading4">
    <w:name w:val="heading 4"/>
    <w:basedOn w:val="Normal"/>
    <w:next w:val="Normal"/>
    <w:link w:val="Heading4Char"/>
    <w:uiPriority w:val="9"/>
    <w:semiHidden/>
    <w:unhideWhenUsed/>
    <w:qFormat/>
    <w:rsid w:val="0040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A2F33"/>
    <w:pPr>
      <w:numPr>
        <w:ilvl w:val="1"/>
      </w:numPr>
    </w:pPr>
    <w:rPr>
      <w:rFonts w:eastAsiaTheme="majorEastAsia" w:cstheme="majorBidi"/>
      <w:color w:val="595959" w:themeColor="text1" w:themeTint="A6"/>
      <w:spacing w:val="15"/>
      <w:sz w:val="21"/>
      <w:szCs w:val="21"/>
    </w:rPr>
  </w:style>
  <w:style w:type="character" w:customStyle="1" w:styleId="SubtitleChar">
    <w:name w:val="Subtitle Char"/>
    <w:basedOn w:val="DefaultParagraphFont"/>
    <w:link w:val="Subtitle"/>
    <w:uiPriority w:val="11"/>
    <w:rsid w:val="00BA2F33"/>
    <w:rPr>
      <w:rFonts w:eastAsiaTheme="majorEastAsia" w:cstheme="majorBidi"/>
      <w:color w:val="595959" w:themeColor="text1" w:themeTint="A6"/>
      <w:spacing w:val="15"/>
      <w:sz w:val="21"/>
      <w:szCs w:val="21"/>
    </w:rPr>
  </w:style>
  <w:style w:type="character" w:customStyle="1" w:styleId="Heading1Char">
    <w:name w:val="Heading 1 Char"/>
    <w:basedOn w:val="DefaultParagraphFont"/>
    <w:link w:val="Heading1"/>
    <w:uiPriority w:val="9"/>
    <w:rsid w:val="00BA2F33"/>
    <w:rPr>
      <w:rFonts w:asciiTheme="majorHAnsi" w:eastAsiaTheme="majorEastAsia" w:hAnsiTheme="majorHAnsi" w:cstheme="majorBidi"/>
      <w:b/>
      <w:bCs/>
      <w:color w:val="0F4761" w:themeColor="accent1" w:themeShade="BF"/>
      <w:sz w:val="40"/>
      <w:szCs w:val="40"/>
    </w:rPr>
  </w:style>
  <w:style w:type="character" w:customStyle="1" w:styleId="Heading2Char">
    <w:name w:val="Heading 2 Char"/>
    <w:basedOn w:val="DefaultParagraphFont"/>
    <w:link w:val="Heading2"/>
    <w:uiPriority w:val="9"/>
    <w:rsid w:val="00BA2F33"/>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BA2F33"/>
    <w:rPr>
      <w:rFonts w:asciiTheme="majorHAnsi" w:eastAsiaTheme="majorEastAsia" w:hAnsiTheme="majorHAnsi" w:cstheme="majorBidi"/>
      <w:b/>
      <w:bCs/>
      <w:color w:val="0F4761" w:themeColor="accent1" w:themeShade="BF"/>
      <w:sz w:val="28"/>
      <w:szCs w:val="28"/>
    </w:rPr>
  </w:style>
  <w:style w:type="character" w:customStyle="1" w:styleId="Heading4Char">
    <w:name w:val="Heading 4 Char"/>
    <w:basedOn w:val="DefaultParagraphFont"/>
    <w:link w:val="Heading4"/>
    <w:uiPriority w:val="9"/>
    <w:semiHidden/>
    <w:rsid w:val="0040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10"/>
    <w:rPr>
      <w:rFonts w:eastAsiaTheme="majorEastAsia" w:cstheme="majorBidi"/>
      <w:color w:val="272727" w:themeColor="text1" w:themeTint="D8"/>
    </w:rPr>
  </w:style>
  <w:style w:type="paragraph" w:styleId="Title">
    <w:name w:val="Title"/>
    <w:basedOn w:val="Normal"/>
    <w:next w:val="Normal"/>
    <w:link w:val="TitleChar"/>
    <w:uiPriority w:val="10"/>
    <w:qFormat/>
    <w:rsid w:val="00406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10"/>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406B10"/>
    <w:pPr>
      <w:spacing w:before="160"/>
      <w:jc w:val="center"/>
    </w:pPr>
    <w:rPr>
      <w:i/>
      <w:iCs/>
      <w:color w:val="404040" w:themeColor="text1" w:themeTint="BF"/>
    </w:rPr>
  </w:style>
  <w:style w:type="character" w:customStyle="1" w:styleId="QuoteChar">
    <w:name w:val="Quote Char"/>
    <w:basedOn w:val="DefaultParagraphFont"/>
    <w:link w:val="Quote"/>
    <w:uiPriority w:val="29"/>
    <w:rsid w:val="00406B10"/>
    <w:rPr>
      <w:i/>
      <w:iCs/>
      <w:color w:val="404040" w:themeColor="text1" w:themeTint="BF"/>
    </w:rPr>
  </w:style>
  <w:style w:type="paragraph" w:styleId="ListParagraph">
    <w:name w:val="List Paragraph"/>
    <w:basedOn w:val="Normal"/>
    <w:uiPriority w:val="34"/>
    <w:qFormat/>
    <w:rsid w:val="00406B10"/>
    <w:pPr>
      <w:ind w:left="720"/>
      <w:contextualSpacing/>
    </w:pPr>
  </w:style>
  <w:style w:type="character" w:styleId="IntenseEmphasis">
    <w:name w:val="Intense Emphasis"/>
    <w:basedOn w:val="DefaultParagraphFont"/>
    <w:uiPriority w:val="21"/>
    <w:qFormat/>
    <w:rsid w:val="00406B10"/>
    <w:rPr>
      <w:i/>
      <w:iCs/>
      <w:color w:val="0F4761" w:themeColor="accent1" w:themeShade="BF"/>
    </w:rPr>
  </w:style>
  <w:style w:type="paragraph" w:styleId="IntenseQuote">
    <w:name w:val="Intense Quote"/>
    <w:basedOn w:val="Normal"/>
    <w:next w:val="Normal"/>
    <w:link w:val="IntenseQuoteChar"/>
    <w:uiPriority w:val="30"/>
    <w:qFormat/>
    <w:rsid w:val="0040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B10"/>
    <w:rPr>
      <w:i/>
      <w:iCs/>
      <w:color w:val="0F4761" w:themeColor="accent1" w:themeShade="BF"/>
    </w:rPr>
  </w:style>
  <w:style w:type="character" w:styleId="IntenseReference">
    <w:name w:val="Intense Reference"/>
    <w:basedOn w:val="DefaultParagraphFont"/>
    <w:uiPriority w:val="32"/>
    <w:qFormat/>
    <w:rsid w:val="00406B10"/>
    <w:rPr>
      <w:b/>
      <w:bCs/>
      <w:smallCaps/>
      <w:color w:val="0F4761" w:themeColor="accent1" w:themeShade="BF"/>
      <w:spacing w:val="5"/>
    </w:rPr>
  </w:style>
  <w:style w:type="character" w:styleId="Hyperlink">
    <w:name w:val="Hyperlink"/>
    <w:basedOn w:val="DefaultParagraphFont"/>
    <w:uiPriority w:val="99"/>
    <w:unhideWhenUsed/>
    <w:rsid w:val="006C0ABB"/>
    <w:rPr>
      <w:color w:val="467886" w:themeColor="hyperlink"/>
      <w:u w:val="single"/>
    </w:rPr>
  </w:style>
  <w:style w:type="character" w:styleId="UnresolvedMention">
    <w:name w:val="Unresolved Mention"/>
    <w:basedOn w:val="DefaultParagraphFont"/>
    <w:uiPriority w:val="99"/>
    <w:semiHidden/>
    <w:unhideWhenUsed/>
    <w:rsid w:val="006C0ABB"/>
    <w:rPr>
      <w:color w:val="605E5C"/>
      <w:shd w:val="clear" w:color="auto" w:fill="E1DFDD"/>
    </w:rPr>
  </w:style>
  <w:style w:type="character" w:styleId="FollowedHyperlink">
    <w:name w:val="FollowedHyperlink"/>
    <w:basedOn w:val="DefaultParagraphFont"/>
    <w:uiPriority w:val="99"/>
    <w:semiHidden/>
    <w:unhideWhenUsed/>
    <w:rsid w:val="005C4D38"/>
    <w:rPr>
      <w:color w:val="96607D" w:themeColor="followedHyperlink"/>
      <w:u w:val="single"/>
    </w:rPr>
  </w:style>
  <w:style w:type="paragraph" w:styleId="NoSpacing">
    <w:name w:val="No Spacing"/>
    <w:uiPriority w:val="1"/>
    <w:qFormat/>
    <w:rsid w:val="00044A64"/>
    <w:pPr>
      <w:spacing w:after="0" w:line="240" w:lineRule="auto"/>
    </w:pPr>
  </w:style>
  <w:style w:type="character" w:styleId="SubtleEmphasis">
    <w:name w:val="Subtle Emphasis"/>
    <w:basedOn w:val="DefaultParagraphFont"/>
    <w:uiPriority w:val="19"/>
    <w:qFormat/>
    <w:rsid w:val="00044A6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27740">
      <w:bodyDiv w:val="1"/>
      <w:marLeft w:val="0"/>
      <w:marRight w:val="0"/>
      <w:marTop w:val="0"/>
      <w:marBottom w:val="0"/>
      <w:divBdr>
        <w:top w:val="none" w:sz="0" w:space="0" w:color="auto"/>
        <w:left w:val="none" w:sz="0" w:space="0" w:color="auto"/>
        <w:bottom w:val="none" w:sz="0" w:space="0" w:color="auto"/>
        <w:right w:val="none" w:sz="0" w:space="0" w:color="auto"/>
      </w:divBdr>
    </w:div>
    <w:div w:id="345521637">
      <w:bodyDiv w:val="1"/>
      <w:marLeft w:val="0"/>
      <w:marRight w:val="0"/>
      <w:marTop w:val="0"/>
      <w:marBottom w:val="0"/>
      <w:divBdr>
        <w:top w:val="none" w:sz="0" w:space="0" w:color="auto"/>
        <w:left w:val="none" w:sz="0" w:space="0" w:color="auto"/>
        <w:bottom w:val="none" w:sz="0" w:space="0" w:color="auto"/>
        <w:right w:val="none" w:sz="0" w:space="0" w:color="auto"/>
      </w:divBdr>
    </w:div>
    <w:div w:id="377315869">
      <w:bodyDiv w:val="1"/>
      <w:marLeft w:val="0"/>
      <w:marRight w:val="0"/>
      <w:marTop w:val="0"/>
      <w:marBottom w:val="0"/>
      <w:divBdr>
        <w:top w:val="none" w:sz="0" w:space="0" w:color="auto"/>
        <w:left w:val="none" w:sz="0" w:space="0" w:color="auto"/>
        <w:bottom w:val="none" w:sz="0" w:space="0" w:color="auto"/>
        <w:right w:val="none" w:sz="0" w:space="0" w:color="auto"/>
      </w:divBdr>
    </w:div>
    <w:div w:id="440223653">
      <w:bodyDiv w:val="1"/>
      <w:marLeft w:val="0"/>
      <w:marRight w:val="0"/>
      <w:marTop w:val="0"/>
      <w:marBottom w:val="0"/>
      <w:divBdr>
        <w:top w:val="none" w:sz="0" w:space="0" w:color="auto"/>
        <w:left w:val="none" w:sz="0" w:space="0" w:color="auto"/>
        <w:bottom w:val="none" w:sz="0" w:space="0" w:color="auto"/>
        <w:right w:val="none" w:sz="0" w:space="0" w:color="auto"/>
      </w:divBdr>
    </w:div>
    <w:div w:id="620261686">
      <w:bodyDiv w:val="1"/>
      <w:marLeft w:val="0"/>
      <w:marRight w:val="0"/>
      <w:marTop w:val="0"/>
      <w:marBottom w:val="0"/>
      <w:divBdr>
        <w:top w:val="none" w:sz="0" w:space="0" w:color="auto"/>
        <w:left w:val="none" w:sz="0" w:space="0" w:color="auto"/>
        <w:bottom w:val="none" w:sz="0" w:space="0" w:color="auto"/>
        <w:right w:val="none" w:sz="0" w:space="0" w:color="auto"/>
      </w:divBdr>
    </w:div>
    <w:div w:id="713961845">
      <w:bodyDiv w:val="1"/>
      <w:marLeft w:val="0"/>
      <w:marRight w:val="0"/>
      <w:marTop w:val="0"/>
      <w:marBottom w:val="0"/>
      <w:divBdr>
        <w:top w:val="none" w:sz="0" w:space="0" w:color="auto"/>
        <w:left w:val="none" w:sz="0" w:space="0" w:color="auto"/>
        <w:bottom w:val="none" w:sz="0" w:space="0" w:color="auto"/>
        <w:right w:val="none" w:sz="0" w:space="0" w:color="auto"/>
      </w:divBdr>
    </w:div>
    <w:div w:id="758525689">
      <w:bodyDiv w:val="1"/>
      <w:marLeft w:val="0"/>
      <w:marRight w:val="0"/>
      <w:marTop w:val="0"/>
      <w:marBottom w:val="0"/>
      <w:divBdr>
        <w:top w:val="none" w:sz="0" w:space="0" w:color="auto"/>
        <w:left w:val="none" w:sz="0" w:space="0" w:color="auto"/>
        <w:bottom w:val="none" w:sz="0" w:space="0" w:color="auto"/>
        <w:right w:val="none" w:sz="0" w:space="0" w:color="auto"/>
      </w:divBdr>
    </w:div>
    <w:div w:id="858542375">
      <w:bodyDiv w:val="1"/>
      <w:marLeft w:val="0"/>
      <w:marRight w:val="0"/>
      <w:marTop w:val="0"/>
      <w:marBottom w:val="0"/>
      <w:divBdr>
        <w:top w:val="none" w:sz="0" w:space="0" w:color="auto"/>
        <w:left w:val="none" w:sz="0" w:space="0" w:color="auto"/>
        <w:bottom w:val="none" w:sz="0" w:space="0" w:color="auto"/>
        <w:right w:val="none" w:sz="0" w:space="0" w:color="auto"/>
      </w:divBdr>
    </w:div>
    <w:div w:id="982731284">
      <w:bodyDiv w:val="1"/>
      <w:marLeft w:val="0"/>
      <w:marRight w:val="0"/>
      <w:marTop w:val="0"/>
      <w:marBottom w:val="0"/>
      <w:divBdr>
        <w:top w:val="none" w:sz="0" w:space="0" w:color="auto"/>
        <w:left w:val="none" w:sz="0" w:space="0" w:color="auto"/>
        <w:bottom w:val="none" w:sz="0" w:space="0" w:color="auto"/>
        <w:right w:val="none" w:sz="0" w:space="0" w:color="auto"/>
      </w:divBdr>
    </w:div>
    <w:div w:id="989092028">
      <w:bodyDiv w:val="1"/>
      <w:marLeft w:val="0"/>
      <w:marRight w:val="0"/>
      <w:marTop w:val="0"/>
      <w:marBottom w:val="0"/>
      <w:divBdr>
        <w:top w:val="none" w:sz="0" w:space="0" w:color="auto"/>
        <w:left w:val="none" w:sz="0" w:space="0" w:color="auto"/>
        <w:bottom w:val="none" w:sz="0" w:space="0" w:color="auto"/>
        <w:right w:val="none" w:sz="0" w:space="0" w:color="auto"/>
      </w:divBdr>
    </w:div>
    <w:div w:id="1227641416">
      <w:bodyDiv w:val="1"/>
      <w:marLeft w:val="0"/>
      <w:marRight w:val="0"/>
      <w:marTop w:val="0"/>
      <w:marBottom w:val="0"/>
      <w:divBdr>
        <w:top w:val="none" w:sz="0" w:space="0" w:color="auto"/>
        <w:left w:val="none" w:sz="0" w:space="0" w:color="auto"/>
        <w:bottom w:val="none" w:sz="0" w:space="0" w:color="auto"/>
        <w:right w:val="none" w:sz="0" w:space="0" w:color="auto"/>
      </w:divBdr>
    </w:div>
    <w:div w:id="1265765734">
      <w:bodyDiv w:val="1"/>
      <w:marLeft w:val="0"/>
      <w:marRight w:val="0"/>
      <w:marTop w:val="0"/>
      <w:marBottom w:val="0"/>
      <w:divBdr>
        <w:top w:val="none" w:sz="0" w:space="0" w:color="auto"/>
        <w:left w:val="none" w:sz="0" w:space="0" w:color="auto"/>
        <w:bottom w:val="none" w:sz="0" w:space="0" w:color="auto"/>
        <w:right w:val="none" w:sz="0" w:space="0" w:color="auto"/>
      </w:divBdr>
    </w:div>
    <w:div w:id="1349481177">
      <w:bodyDiv w:val="1"/>
      <w:marLeft w:val="0"/>
      <w:marRight w:val="0"/>
      <w:marTop w:val="0"/>
      <w:marBottom w:val="0"/>
      <w:divBdr>
        <w:top w:val="none" w:sz="0" w:space="0" w:color="auto"/>
        <w:left w:val="none" w:sz="0" w:space="0" w:color="auto"/>
        <w:bottom w:val="none" w:sz="0" w:space="0" w:color="auto"/>
        <w:right w:val="none" w:sz="0" w:space="0" w:color="auto"/>
      </w:divBdr>
    </w:div>
    <w:div w:id="1393844303">
      <w:bodyDiv w:val="1"/>
      <w:marLeft w:val="0"/>
      <w:marRight w:val="0"/>
      <w:marTop w:val="0"/>
      <w:marBottom w:val="0"/>
      <w:divBdr>
        <w:top w:val="none" w:sz="0" w:space="0" w:color="auto"/>
        <w:left w:val="none" w:sz="0" w:space="0" w:color="auto"/>
        <w:bottom w:val="none" w:sz="0" w:space="0" w:color="auto"/>
        <w:right w:val="none" w:sz="0" w:space="0" w:color="auto"/>
      </w:divBdr>
    </w:div>
    <w:div w:id="1484153338">
      <w:bodyDiv w:val="1"/>
      <w:marLeft w:val="0"/>
      <w:marRight w:val="0"/>
      <w:marTop w:val="0"/>
      <w:marBottom w:val="0"/>
      <w:divBdr>
        <w:top w:val="none" w:sz="0" w:space="0" w:color="auto"/>
        <w:left w:val="none" w:sz="0" w:space="0" w:color="auto"/>
        <w:bottom w:val="none" w:sz="0" w:space="0" w:color="auto"/>
        <w:right w:val="none" w:sz="0" w:space="0" w:color="auto"/>
      </w:divBdr>
    </w:div>
    <w:div w:id="1546329803">
      <w:bodyDiv w:val="1"/>
      <w:marLeft w:val="0"/>
      <w:marRight w:val="0"/>
      <w:marTop w:val="0"/>
      <w:marBottom w:val="0"/>
      <w:divBdr>
        <w:top w:val="none" w:sz="0" w:space="0" w:color="auto"/>
        <w:left w:val="none" w:sz="0" w:space="0" w:color="auto"/>
        <w:bottom w:val="none" w:sz="0" w:space="0" w:color="auto"/>
        <w:right w:val="none" w:sz="0" w:space="0" w:color="auto"/>
      </w:divBdr>
    </w:div>
    <w:div w:id="1554120797">
      <w:bodyDiv w:val="1"/>
      <w:marLeft w:val="0"/>
      <w:marRight w:val="0"/>
      <w:marTop w:val="0"/>
      <w:marBottom w:val="0"/>
      <w:divBdr>
        <w:top w:val="none" w:sz="0" w:space="0" w:color="auto"/>
        <w:left w:val="none" w:sz="0" w:space="0" w:color="auto"/>
        <w:bottom w:val="none" w:sz="0" w:space="0" w:color="auto"/>
        <w:right w:val="none" w:sz="0" w:space="0" w:color="auto"/>
      </w:divBdr>
    </w:div>
    <w:div w:id="1608778569">
      <w:bodyDiv w:val="1"/>
      <w:marLeft w:val="0"/>
      <w:marRight w:val="0"/>
      <w:marTop w:val="0"/>
      <w:marBottom w:val="0"/>
      <w:divBdr>
        <w:top w:val="none" w:sz="0" w:space="0" w:color="auto"/>
        <w:left w:val="none" w:sz="0" w:space="0" w:color="auto"/>
        <w:bottom w:val="none" w:sz="0" w:space="0" w:color="auto"/>
        <w:right w:val="none" w:sz="0" w:space="0" w:color="auto"/>
      </w:divBdr>
    </w:div>
    <w:div w:id="1789352866">
      <w:bodyDiv w:val="1"/>
      <w:marLeft w:val="0"/>
      <w:marRight w:val="0"/>
      <w:marTop w:val="0"/>
      <w:marBottom w:val="0"/>
      <w:divBdr>
        <w:top w:val="none" w:sz="0" w:space="0" w:color="auto"/>
        <w:left w:val="none" w:sz="0" w:space="0" w:color="auto"/>
        <w:bottom w:val="none" w:sz="0" w:space="0" w:color="auto"/>
        <w:right w:val="none" w:sz="0" w:space="0" w:color="auto"/>
      </w:divBdr>
    </w:div>
    <w:div w:id="1820462008">
      <w:bodyDiv w:val="1"/>
      <w:marLeft w:val="0"/>
      <w:marRight w:val="0"/>
      <w:marTop w:val="0"/>
      <w:marBottom w:val="0"/>
      <w:divBdr>
        <w:top w:val="none" w:sz="0" w:space="0" w:color="auto"/>
        <w:left w:val="none" w:sz="0" w:space="0" w:color="auto"/>
        <w:bottom w:val="none" w:sz="0" w:space="0" w:color="auto"/>
        <w:right w:val="none" w:sz="0" w:space="0" w:color="auto"/>
      </w:divBdr>
    </w:div>
    <w:div w:id="1876692078">
      <w:bodyDiv w:val="1"/>
      <w:marLeft w:val="0"/>
      <w:marRight w:val="0"/>
      <w:marTop w:val="0"/>
      <w:marBottom w:val="0"/>
      <w:divBdr>
        <w:top w:val="none" w:sz="0" w:space="0" w:color="auto"/>
        <w:left w:val="none" w:sz="0" w:space="0" w:color="auto"/>
        <w:bottom w:val="none" w:sz="0" w:space="0" w:color="auto"/>
        <w:right w:val="none" w:sz="0" w:space="0" w:color="auto"/>
      </w:divBdr>
    </w:div>
    <w:div w:id="1888374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s41598-024-84478-x" TargetMode="External"/><Relationship Id="rId5" Type="http://schemas.openxmlformats.org/officeDocument/2006/relationships/hyperlink" Target="https://doi.org/10.1007/s00125-025-0646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1593</Words>
  <Characters>9084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Ryxn</dc:creator>
  <cp:keywords/>
  <dc:description/>
  <cp:lastModifiedBy>Ryxn</cp:lastModifiedBy>
  <cp:revision>4</cp:revision>
  <dcterms:created xsi:type="dcterms:W3CDTF">2025-09-24T09:28:00Z</dcterms:created>
  <dcterms:modified xsi:type="dcterms:W3CDTF">2025-09-25T12:52:00Z</dcterms:modified>
</cp:coreProperties>
</file>