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24" w:lineRule="auto"/>
        <w:jc w:val="center"/>
      </w:pPr>
      <w:r>
        <w:rPr>
          <w:rFonts w:ascii="Times New Roman" w:hAnsi="Times New Roman"/>
          <w:b/>
          <w:i w:val="0"/>
          <w:sz w:val="32"/>
        </w:rPr>
        <w:t>AGROSTRAT: PRECISION AGRICULTURAL FIELD CLASSIFICATION AND HYPERLOCAL FARMING ADVISORY SYSTEM</w:t>
      </w:r>
    </w:p>
    <w:p>
      <w:pPr>
        <w:spacing w:after="240" w:line="324" w:lineRule="auto"/>
        <w:jc w:val="center"/>
      </w:pPr>
      <w:r>
        <w:rPr>
          <w:rFonts w:ascii="Times New Roman" w:hAnsi="Times New Roman"/>
          <w:b/>
          <w:i w:val="0"/>
          <w:sz w:val="26"/>
        </w:rPr>
        <w:t>A PROJECT REPORT</w:t>
      </w:r>
    </w:p>
    <w:p>
      <w:pPr>
        <w:spacing w:after="120" w:line="324" w:lineRule="auto"/>
        <w:jc w:val="center"/>
      </w:pPr>
      <w:r>
        <w:rPr>
          <w:rFonts w:ascii="Times New Roman" w:hAnsi="Times New Roman"/>
          <w:b w:val="0"/>
          <w:i w:val="0"/>
          <w:sz w:val="24"/>
        </w:rPr>
        <w:t>Submitted by</w:t>
      </w:r>
    </w:p>
    <w:p>
      <w:pPr>
        <w:spacing w:after="360" w:line="324" w:lineRule="auto"/>
        <w:jc w:val="center"/>
      </w:pPr>
      <w:r>
        <w:rPr>
          <w:rFonts w:ascii="Times New Roman" w:hAnsi="Times New Roman"/>
          <w:b/>
          <w:i w:val="0"/>
          <w:sz w:val="26"/>
        </w:rPr>
        <w:t>A SMIRRITHI (310624148101)</w:t>
      </w:r>
    </w:p>
    <w:p>
      <w:pPr>
        <w:spacing w:after="80" w:line="324" w:lineRule="auto"/>
        <w:jc w:val="center"/>
      </w:pPr>
      <w:r>
        <w:rPr>
          <w:rFonts w:ascii="Times New Roman" w:hAnsi="Times New Roman"/>
          <w:b w:val="0"/>
          <w:i w:val="0"/>
          <w:sz w:val="24"/>
        </w:rPr>
        <w:t>in partial fulfillment for the award of the Degree of</w:t>
      </w:r>
    </w:p>
    <w:p>
      <w:pPr>
        <w:spacing w:after="80" w:line="324" w:lineRule="auto"/>
        <w:jc w:val="center"/>
      </w:pPr>
      <w:r>
        <w:rPr>
          <w:rFonts w:ascii="Times New Roman" w:hAnsi="Times New Roman"/>
          <w:b/>
          <w:i w:val="0"/>
          <w:sz w:val="26"/>
        </w:rPr>
        <w:t>BACHELOR OF ENGINEERING</w:t>
      </w:r>
    </w:p>
    <w:p>
      <w:pPr>
        <w:spacing w:after="80" w:line="324" w:lineRule="auto"/>
        <w:jc w:val="center"/>
      </w:pPr>
      <w:r>
        <w:rPr>
          <w:rFonts w:ascii="Times New Roman" w:hAnsi="Times New Roman"/>
          <w:b w:val="0"/>
          <w:i w:val="0"/>
          <w:sz w:val="24"/>
        </w:rPr>
        <w:t>in</w:t>
      </w:r>
    </w:p>
    <w:p>
      <w:pPr>
        <w:spacing w:after="160" w:line="324" w:lineRule="auto"/>
        <w:jc w:val="center"/>
      </w:pPr>
      <w:r>
        <w:rPr>
          <w:rFonts w:ascii="Times New Roman" w:hAnsi="Times New Roman"/>
          <w:b/>
          <w:i w:val="0"/>
          <w:sz w:val="26"/>
        </w:rPr>
        <w:t>COMPUTER SCIENCE AND ENGINEERING (AI &amp; ML)</w:t>
      </w:r>
    </w:p>
    <w:p>
      <w:pPr>
        <w:spacing w:after="320" w:line="324" w:lineRule="auto"/>
        <w:jc w:val="center"/>
      </w:pPr>
      <w:r>
        <w:rPr>
          <w:rFonts w:ascii="Times New Roman" w:hAnsi="Times New Roman"/>
          <w:b/>
          <w:i w:val="0"/>
          <w:sz w:val="24"/>
        </w:rPr>
        <w:t>2311CSE503R - FULL STACK DEVELOPMENT</w:t>
      </w:r>
    </w:p>
    <w:p>
      <w:pPr>
        <w:spacing w:after="240"/>
        <w:jc w:val="center"/>
      </w:pPr>
      <w:r>
        <w:drawing>
          <wp:inline xmlns:a="http://schemas.openxmlformats.org/drawingml/2006/main" xmlns:pic="http://schemas.openxmlformats.org/drawingml/2006/picture">
            <wp:extent cx="1097280" cy="1015240"/>
            <wp:docPr id="1" name="Picture 1"/>
            <wp:cNvGraphicFramePr>
              <a:graphicFrameLocks noChangeAspect="1"/>
            </wp:cNvGraphicFramePr>
            <a:graphic>
              <a:graphicData uri="http://schemas.openxmlformats.org/drawingml/2006/picture">
                <pic:pic>
                  <pic:nvPicPr>
                    <pic:cNvPr id="0" name="easwari_logo.png"/>
                    <pic:cNvPicPr/>
                  </pic:nvPicPr>
                  <pic:blipFill>
                    <a:blip r:embed="rId10"/>
                    <a:stretch>
                      <a:fillRect/>
                    </a:stretch>
                  </pic:blipFill>
                  <pic:spPr>
                    <a:xfrm>
                      <a:off x="0" y="0"/>
                      <a:ext cx="1097280" cy="1015240"/>
                    </a:xfrm>
                    <a:prstGeom prst="rect"/>
                  </pic:spPr>
                </pic:pic>
              </a:graphicData>
            </a:graphic>
          </wp:inline>
        </w:drawing>
      </w:r>
    </w:p>
    <w:p>
      <w:pPr>
        <w:spacing w:after="80" w:line="324" w:lineRule="auto"/>
        <w:jc w:val="center"/>
      </w:pPr>
      <w:r>
        <w:rPr>
          <w:rFonts w:ascii="Times New Roman" w:hAnsi="Times New Roman"/>
          <w:b/>
          <w:i w:val="0"/>
          <w:sz w:val="28"/>
        </w:rPr>
        <w:t>EASWARI ENGINEERING COLLEGE</w:t>
      </w:r>
    </w:p>
    <w:p>
      <w:pPr>
        <w:spacing w:after="80" w:line="324" w:lineRule="auto"/>
        <w:jc w:val="center"/>
      </w:pPr>
      <w:r>
        <w:rPr>
          <w:rFonts w:ascii="Times New Roman" w:hAnsi="Times New Roman"/>
          <w:b w:val="0"/>
          <w:i w:val="0"/>
          <w:sz w:val="22"/>
        </w:rPr>
        <w:t>(AN AUTONOMOUS INSTITUTION) – AFFILIATED TO ANNA UNIVERSITY, CHENNAI</w:t>
      </w:r>
    </w:p>
    <w:p>
      <w:pPr>
        <w:spacing w:after="120" w:line="324" w:lineRule="auto"/>
        <w:jc w:val="center"/>
      </w:pPr>
      <w:r>
        <w:rPr>
          <w:rFonts w:ascii="Times New Roman" w:hAnsi="Times New Roman"/>
          <w:b w:val="0"/>
          <w:i w:val="0"/>
          <w:sz w:val="22"/>
        </w:rPr>
        <w:t>CHENNAI</w:t>
      </w:r>
    </w:p>
    <w:p>
      <w:pPr>
        <w:spacing w:after="0" w:line="324" w:lineRule="auto"/>
        <w:jc w:val="center"/>
      </w:pPr>
      <w:r>
        <w:rPr>
          <w:rFonts w:ascii="Times New Roman" w:hAnsi="Times New Roman"/>
          <w:b/>
          <w:i w:val="0"/>
          <w:sz w:val="24"/>
        </w:rPr>
        <w:t>OCTOBER 2026</w:t>
      </w:r>
    </w:p>
    <w:p>
      <w:r>
        <w:br w:type="page"/>
      </w:r>
    </w:p>
    <w:p>
      <w:pPr>
        <w:spacing w:after="120"/>
        <w:jc w:val="center"/>
      </w:pPr>
      <w:r>
        <w:drawing>
          <wp:inline xmlns:a="http://schemas.openxmlformats.org/drawingml/2006/main" xmlns:pic="http://schemas.openxmlformats.org/drawingml/2006/picture">
            <wp:extent cx="731520" cy="676827"/>
            <wp:docPr id="2" name="Picture 2"/>
            <wp:cNvGraphicFramePr>
              <a:graphicFrameLocks noChangeAspect="1"/>
            </wp:cNvGraphicFramePr>
            <a:graphic>
              <a:graphicData uri="http://schemas.openxmlformats.org/drawingml/2006/picture">
                <pic:pic>
                  <pic:nvPicPr>
                    <pic:cNvPr id="0" name="easwari_logo.png"/>
                    <pic:cNvPicPr/>
                  </pic:nvPicPr>
                  <pic:blipFill>
                    <a:blip r:embed="rId10"/>
                    <a:stretch>
                      <a:fillRect/>
                    </a:stretch>
                  </pic:blipFill>
                  <pic:spPr>
                    <a:xfrm>
                      <a:off x="0" y="0"/>
                      <a:ext cx="731520" cy="676827"/>
                    </a:xfrm>
                    <a:prstGeom prst="rect"/>
                  </pic:spPr>
                </pic:pic>
              </a:graphicData>
            </a:graphic>
          </wp:inline>
        </w:drawing>
      </w:r>
    </w:p>
    <w:p>
      <w:pPr>
        <w:spacing w:after="360" w:line="324" w:lineRule="auto"/>
        <w:jc w:val="center"/>
      </w:pPr>
      <w:r>
        <w:rPr>
          <w:rFonts w:ascii="Times New Roman" w:hAnsi="Times New Roman"/>
          <w:b/>
          <w:i w:val="0"/>
          <w:sz w:val="28"/>
        </w:rPr>
        <w:t>EASWARI ENGINEERING COLLEGE</w:t>
      </w:r>
    </w:p>
    <w:p>
      <w:pPr>
        <w:spacing w:after="480" w:line="324" w:lineRule="auto"/>
        <w:jc w:val="center"/>
      </w:pPr>
      <w:r>
        <w:rPr>
          <w:rFonts w:ascii="Times New Roman" w:hAnsi="Times New Roman"/>
          <w:b/>
          <w:i w:val="0"/>
          <w:sz w:val="26"/>
        </w:rPr>
        <w:t>BONAFIDE CERTIFICATE</w:t>
      </w:r>
    </w:p>
    <w:p>
      <w:pPr>
        <w:spacing w:after="1600" w:line="324" w:lineRule="auto"/>
        <w:jc w:val="both"/>
      </w:pPr>
      <w:r>
        <w:rPr>
          <w:rFonts w:ascii="Times New Roman" w:hAnsi="Times New Roman"/>
          <w:b w:val="0"/>
          <w:i w:val="0"/>
          <w:sz w:val="24"/>
        </w:rPr>
        <w:t>Certified that this mini project report titled “AGROSTRAT: PRECISION AGRICULTURAL FIELD CLASSIFICATION AND HYPERLOCAL FARMING ADVISORY SYSTEM” is the Bonafide work of “A SMIRRITHI (310624148101)”, who carried out the project work under my supervision.</w:t>
      </w:r>
    </w:p>
    <w:tbl>
      <w:tblPr>
        <w:tblW w:type="auto" w:w="0"/>
        <w:jc w:val="center"/>
        <w:tblLook w:firstColumn="1" w:firstRow="1" w:lastColumn="0" w:lastRow="0" w:noHBand="0" w:noVBand="1" w:val="04A0"/>
      </w:tblPr>
      <w:tblGrid>
        <w:gridCol w:w="4658"/>
        <w:gridCol w:w="4658"/>
      </w:tblGrid>
      <w:tr>
        <w:tc>
          <w:tcPr>
            <w:tcW w:type="dxa" w:w="4658"/>
          </w:tcPr>
          <w:p>
            <w:r>
              <w:rPr>
                <w:b/>
              </w:rPr>
              <w:t>HEAD OF THE DEPARTMENT</w:t>
            </w:r>
          </w:p>
        </w:tc>
        <w:tc>
          <w:tcPr>
            <w:tcW w:type="dxa" w:w="4658"/>
          </w:tcPr>
          <w:p>
            <w:pPr>
              <w:jc w:val="right"/>
            </w:pPr>
            <w:r>
              <w:rPr>
                <w:b/>
              </w:rPr>
              <w:t>SUPERVISOR</w:t>
            </w:r>
          </w:p>
        </w:tc>
      </w:tr>
    </w:tbl>
    <w:p>
      <w:r>
        <w:br w:type="page"/>
      </w:r>
    </w:p>
    <w:p>
      <w:pPr>
        <w:spacing w:after="120"/>
        <w:jc w:val="center"/>
      </w:pPr>
      <w:r>
        <w:drawing>
          <wp:inline xmlns:a="http://schemas.openxmlformats.org/drawingml/2006/main" xmlns:pic="http://schemas.openxmlformats.org/drawingml/2006/picture">
            <wp:extent cx="731520" cy="676827"/>
            <wp:docPr id="3" name="Picture 3"/>
            <wp:cNvGraphicFramePr>
              <a:graphicFrameLocks noChangeAspect="1"/>
            </wp:cNvGraphicFramePr>
            <a:graphic>
              <a:graphicData uri="http://schemas.openxmlformats.org/drawingml/2006/picture">
                <pic:pic>
                  <pic:nvPicPr>
                    <pic:cNvPr id="0" name="easwari_logo.png"/>
                    <pic:cNvPicPr/>
                  </pic:nvPicPr>
                  <pic:blipFill>
                    <a:blip r:embed="rId10"/>
                    <a:stretch>
                      <a:fillRect/>
                    </a:stretch>
                  </pic:blipFill>
                  <pic:spPr>
                    <a:xfrm>
                      <a:off x="0" y="0"/>
                      <a:ext cx="731520" cy="676827"/>
                    </a:xfrm>
                    <a:prstGeom prst="rect"/>
                  </pic:spPr>
                </pic:pic>
              </a:graphicData>
            </a:graphic>
          </wp:inline>
        </w:drawing>
      </w:r>
    </w:p>
    <w:p>
      <w:pPr>
        <w:spacing w:after="360" w:line="324" w:lineRule="auto"/>
        <w:jc w:val="center"/>
      </w:pPr>
      <w:r>
        <w:rPr>
          <w:rFonts w:ascii="Times New Roman" w:hAnsi="Times New Roman"/>
          <w:b/>
          <w:i w:val="0"/>
          <w:sz w:val="28"/>
        </w:rPr>
        <w:t>EASWARI ENGINEERING COLLEGE</w:t>
      </w:r>
    </w:p>
    <w:p>
      <w:pPr>
        <w:spacing w:after="400" w:line="324" w:lineRule="auto"/>
        <w:jc w:val="center"/>
      </w:pPr>
      <w:r>
        <w:rPr>
          <w:rFonts w:ascii="Times New Roman" w:hAnsi="Times New Roman"/>
          <w:b/>
          <w:i w:val="0"/>
          <w:sz w:val="26"/>
        </w:rPr>
        <w:t>Certificate of Viva-voce-Examination</w:t>
      </w:r>
    </w:p>
    <w:p>
      <w:pPr>
        <w:spacing w:after="240" w:line="324" w:lineRule="auto"/>
        <w:jc w:val="both"/>
      </w:pPr>
      <w:r>
        <w:rPr>
          <w:rFonts w:ascii="Times New Roman" w:hAnsi="Times New Roman"/>
          <w:b w:val="0"/>
          <w:i w:val="0"/>
          <w:sz w:val="24"/>
        </w:rPr>
        <w:t>This is to certify that the Viva Voce Examination of the Project Work entitled “AGROSTRAT: PRECISION AGRICULTURAL FIELD CLASSIFICATION AND HYPERLOCAL FARMING ADVISORY SYSTEM” submitted by</w:t>
      </w:r>
    </w:p>
    <w:p>
      <w:pPr>
        <w:spacing w:after="240" w:line="324" w:lineRule="auto"/>
        <w:jc w:val="center"/>
      </w:pPr>
      <w:r>
        <w:rPr>
          <w:rFonts w:ascii="Times New Roman" w:hAnsi="Times New Roman"/>
          <w:b/>
          <w:i w:val="0"/>
          <w:sz w:val="26"/>
        </w:rPr>
        <w:t>Ms. A Smirrithi (Reg. No. 310624148101)</w:t>
      </w:r>
    </w:p>
    <w:p>
      <w:pPr>
        <w:spacing w:after="480" w:line="324" w:lineRule="auto"/>
        <w:jc w:val="both"/>
      </w:pPr>
      <w:r>
        <w:rPr>
          <w:rFonts w:ascii="Times New Roman" w:hAnsi="Times New Roman"/>
          <w:b w:val="0"/>
          <w:i w:val="0"/>
          <w:sz w:val="24"/>
        </w:rPr>
        <w:t>in partial fulfillment of the requirements for the award of the degree of Bachelor of Engineering was conducted on ____________ (Date) in the Department of Computer Science and Engineering (AI &amp; ML), Easwari Engineering College, Ramapuram – Chennai.</w:t>
      </w:r>
    </w:p>
    <w:p>
      <w:pPr>
        <w:spacing w:after="480" w:line="324" w:lineRule="auto"/>
        <w:jc w:val="left"/>
      </w:pPr>
      <w:r>
        <w:rPr>
          <w:rFonts w:ascii="Times New Roman" w:hAnsi="Times New Roman"/>
          <w:b/>
          <w:i w:val="0"/>
          <w:sz w:val="24"/>
        </w:rPr>
        <w:t>Date:</w:t>
      </w:r>
    </w:p>
    <w:tbl>
      <w:tblPr>
        <w:tblW w:type="auto" w:w="0"/>
        <w:jc w:val="center"/>
        <w:tblLook w:firstColumn="1" w:firstRow="1" w:lastColumn="0" w:lastRow="0" w:noHBand="0" w:noVBand="1" w:val="04A0"/>
      </w:tblPr>
      <w:tblGrid>
        <w:gridCol w:w="4658"/>
        <w:gridCol w:w="4658"/>
      </w:tblGrid>
      <w:tr>
        <w:tc>
          <w:tcPr>
            <w:tcW w:type="dxa" w:w="4658"/>
          </w:tcPr>
          <w:p>
            <w:r>
              <w:rPr>
                <w:b w:val="0"/>
              </w:rPr>
              <w:t>Internal Examiner</w:t>
              <w:br/>
              <w:br/>
              <w:t>Name :</w:t>
              <w:br/>
              <w:br/>
              <w:t>Designation :</w:t>
              <w:br/>
              <w:br/>
              <w:t>Address :</w:t>
            </w:r>
          </w:p>
        </w:tc>
        <w:tc>
          <w:tcPr>
            <w:tcW w:type="dxa" w:w="4658"/>
          </w:tcPr>
          <w:p>
            <w:r>
              <w:rPr>
                <w:b w:val="0"/>
              </w:rPr>
              <w:t>External Examiner</w:t>
              <w:br/>
              <w:br/>
              <w:t>Name :</w:t>
              <w:br/>
              <w:br/>
              <w:t>Designation :</w:t>
              <w:br/>
              <w:br/>
              <w:t>Address :</w:t>
            </w:r>
          </w:p>
        </w:tc>
      </w:tr>
    </w:tbl>
    <w:p>
      <w:r>
        <w:br w:type="page"/>
      </w:r>
    </w:p>
    <w:p>
      <w:pPr>
        <w:spacing w:before="240" w:after="80"/>
        <w:jc w:val="center"/>
      </w:pPr>
      <w:r>
        <w:rPr>
          <w:rFonts w:ascii="Times New Roman" w:hAnsi="Times New Roman"/>
          <w:b/>
          <w:sz w:val="32"/>
        </w:rPr>
        <w:t>ABSTRACT</w:t>
      </w:r>
    </w:p>
    <w:p>
      <w:pPr>
        <w:spacing w:after="120" w:line="324" w:lineRule="auto"/>
        <w:jc w:val="both"/>
      </w:pPr>
      <w:r>
        <w:rPr>
          <w:rFonts w:ascii="Times New Roman" w:hAnsi="Times New Roman"/>
          <w:b w:val="0"/>
          <w:i w:val="0"/>
          <w:sz w:val="24"/>
        </w:rPr>
        <w:t>The modernization of agricultural practices through digital precision technologies represents a cornerstone for global food security, climate resilience, and rural economic sustainability. In agrarian economies like India, smallholder farmers face intensifying operational uncertainties driven by erratic monsoon patterns, rapid peri-urban land conversion, groundwater depletion, and climate volatility.</w:t>
      </w:r>
    </w:p>
    <w:p>
      <w:pPr>
        <w:spacing w:after="120" w:line="324" w:lineRule="auto"/>
        <w:jc w:val="both"/>
      </w:pPr>
      <w:r>
        <w:rPr>
          <w:rFonts w:ascii="Times New Roman" w:hAnsi="Times New Roman"/>
          <w:b w:val="0"/>
          <w:i w:val="0"/>
          <w:sz w:val="24"/>
        </w:rPr>
        <w:t>Farmers require localized weather forecasts, rainfall predictions, drought warnings, irrigation recommendations, and crop advisories to improve agricultural productivity. Conventional agricultural advisory services deliver coarse regional bulletins that lack geospatial specificity, fail to provide immediate operational directives, and cannot verify whether a given coordinate represents a cultivated field or residential terrain.</w:t>
      </w:r>
    </w:p>
    <w:p>
      <w:pPr>
        <w:spacing w:after="120" w:line="324" w:lineRule="auto"/>
        <w:jc w:val="both"/>
      </w:pPr>
      <w:r>
        <w:rPr>
          <w:rFonts w:ascii="Times New Roman" w:hAnsi="Times New Roman"/>
          <w:b w:val="0"/>
          <w:i w:val="0"/>
          <w:sz w:val="24"/>
        </w:rPr>
        <w:t>This project designs, engineers, and verifies Agrostrat, an operational full-stack precision agricultural intelligence system developed using the MERN technology stack (MongoDB, Express.js, React.js, and Node.js). Agrostrat integrates automated field-level land verification, real-time satellite reanalysis telemetry ingestion, deterministic FAO-56 Penman-Monteith evapotranspiration water balance modeling, and fungal pathogen infection risk calculation.</w:t>
      </w:r>
    </w:p>
    <w:p>
      <w:pPr>
        <w:spacing w:after="120" w:line="324" w:lineRule="auto"/>
        <w:jc w:val="both"/>
      </w:pPr>
      <w:r>
        <w:rPr>
          <w:rFonts w:ascii="Times New Roman" w:hAnsi="Times New Roman"/>
          <w:b w:val="0"/>
          <w:i w:val="0"/>
          <w:sz w:val="24"/>
        </w:rPr>
        <w:t>The platform's Land Classification Subsystem executes real-time spatial analysis using OpenStreetMap Overpass geometric feature querying and European Space Agency (ESA) Sentinel-2 satellite optical band processing (Normalized Difference Vegetation Index - NDVI, Moisture Index - NDMI, and Normalized Difference Built-up Index - NDBI). When geospatial queries fall within metropolitan boundaries, an integrated sub-kilometer urban mask instantly identifies residential structures, impervious concrete footprints, and municipal parcels with up to 97% confidence.</w:t>
      </w:r>
    </w:p>
    <w:p>
      <w:pPr>
        <w:spacing w:after="120" w:line="324" w:lineRule="auto"/>
        <w:jc w:val="both"/>
      </w:pPr>
      <w:r>
        <w:rPr>
          <w:rFonts w:ascii="Times New Roman" w:hAnsi="Times New Roman"/>
          <w:b w:val="0"/>
          <w:i w:val="0"/>
          <w:sz w:val="24"/>
        </w:rPr>
        <w:t>For validated agricultural crop parcels, the Agrostrat Agronomic Engine synthesizes physical soil sensor measurements (volumetric moisture at 0–7 cm and 7–28 cm root depths, soil temperature) with atmospheric parameters. Today's Field Action Plan delivers three core operational directives: Irrigation Advice (Watering), Plant Protection (Pest Prevention), and Field Bund Work. Every recommendation is accompanied by an explainable Note citing the exact measured physical numbers responsible for the advice without black-box generative hallucinations. System verification was confirmed across Tamil Nadu agricultural districts and Chennai urban coordinates.</w:t>
      </w:r>
    </w:p>
    <w:p>
      <w:pPr>
        <w:spacing w:after="240" w:line="324" w:lineRule="auto"/>
        <w:jc w:val="both"/>
      </w:pPr>
      <w:r>
        <w:rPr>
          <w:rFonts w:ascii="Times New Roman" w:hAnsi="Times New Roman"/>
          <w:b/>
          <w:i w:val="0"/>
          <w:sz w:val="22"/>
        </w:rPr>
        <w:t>Keywords: Precision Agriculture, Land Classification, Sentinel-2 Remote Sensing, NDVI, FAO-56 Penman-Monteith, Hyperlocal Farming Advisory, Full Stack Development, MERN Stack.</w:t>
      </w:r>
    </w:p>
    <w:p>
      <w:r>
        <w:br w:type="page"/>
      </w:r>
    </w:p>
    <w:p>
      <w:pPr>
        <w:spacing w:before="240" w:after="80"/>
        <w:jc w:val="center"/>
      </w:pPr>
      <w:r>
        <w:rPr>
          <w:rFonts w:ascii="Times New Roman" w:hAnsi="Times New Roman"/>
          <w:b/>
          <w:sz w:val="32"/>
        </w:rPr>
        <w:t>ACKNOWLEDGEMENT</w:t>
      </w:r>
    </w:p>
    <w:p>
      <w:pPr>
        <w:spacing w:after="240" w:line="324" w:lineRule="auto"/>
        <w:jc w:val="both"/>
      </w:pPr>
      <w:r>
        <w:rPr>
          <w:rFonts w:ascii="Times New Roman" w:hAnsi="Times New Roman"/>
          <w:b w:val="0"/>
          <w:i w:val="0"/>
          <w:sz w:val="24"/>
        </w:rPr>
        <w:t>We express our sincere gratitude to the Principal Dr. P. Deiva Sundari and the Management of our college for providing us with the opportunity to carry out this project work.</w:t>
      </w:r>
    </w:p>
    <w:p>
      <w:pPr>
        <w:spacing w:after="240" w:line="324" w:lineRule="auto"/>
        <w:jc w:val="both"/>
      </w:pPr>
      <w:r>
        <w:rPr>
          <w:rFonts w:ascii="Times New Roman" w:hAnsi="Times New Roman"/>
          <w:b w:val="0"/>
          <w:i w:val="0"/>
          <w:sz w:val="24"/>
        </w:rPr>
        <w:t>We convey our heartfelt thanks to the Head of the Department Dr. Y. Justin Dhas, Department of Computer Science and Engineering (AI &amp; ML), for the continuous encouragement and support.</w:t>
      </w:r>
    </w:p>
    <w:p>
      <w:pPr>
        <w:spacing w:after="240" w:line="324" w:lineRule="auto"/>
        <w:jc w:val="both"/>
      </w:pPr>
      <w:r>
        <w:rPr>
          <w:rFonts w:ascii="Times New Roman" w:hAnsi="Times New Roman"/>
          <w:b w:val="0"/>
          <w:i w:val="0"/>
          <w:sz w:val="24"/>
        </w:rPr>
        <w:t>We are extremely thankful to our Project Guide Ms. Divyanjali, Department of Computer Science and Engineering (AI &amp; ML) for valuable guidance, suggestions, and motivation throughout the completion of this project.</w:t>
      </w:r>
    </w:p>
    <w:p>
      <w:pPr>
        <w:spacing w:after="240" w:line="324" w:lineRule="auto"/>
        <w:jc w:val="both"/>
      </w:pPr>
      <w:r>
        <w:rPr>
          <w:rFonts w:ascii="Times New Roman" w:hAnsi="Times New Roman"/>
          <w:b w:val="0"/>
          <w:i w:val="0"/>
          <w:sz w:val="24"/>
        </w:rPr>
        <w:t>We would also like to extend our gratitude to all the faculty members of the Department of Computer Science and Engineering (AI &amp; ML) for their support.</w:t>
      </w:r>
    </w:p>
    <w:p>
      <w:pPr>
        <w:spacing w:after="240" w:line="324" w:lineRule="auto"/>
        <w:jc w:val="both"/>
      </w:pPr>
      <w:r>
        <w:rPr>
          <w:rFonts w:ascii="Times New Roman" w:hAnsi="Times New Roman"/>
          <w:b w:val="0"/>
          <w:i w:val="0"/>
          <w:sz w:val="24"/>
        </w:rPr>
        <w:t>Finally, we thank our parents and friends for their constant encouragement and help during the course of this project.</w:t>
      </w:r>
    </w:p>
    <w:p>
      <w:r>
        <w:br w:type="page"/>
      </w:r>
    </w:p>
    <w:p>
      <w:pPr>
        <w:spacing w:before="240" w:after="8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3106"/>
        <w:gridCol w:w="3106"/>
        <w:gridCol w:w="3106"/>
      </w:tblGrid>
      <w:tr>
        <w:tc>
          <w:tcPr>
            <w:tcW w:type="dxa" w:w="3106"/>
          </w:tcPr>
          <w:p>
            <w:r>
              <w:rPr>
                <w:b/>
              </w:rPr>
              <w:t>Chapter</w:t>
            </w:r>
          </w:p>
        </w:tc>
        <w:tc>
          <w:tcPr>
            <w:tcW w:type="dxa" w:w="3106"/>
          </w:tcPr>
          <w:p>
            <w:r>
              <w:rPr>
                <w:b/>
              </w:rPr>
              <w:t>Title</w:t>
            </w:r>
          </w:p>
        </w:tc>
        <w:tc>
          <w:tcPr>
            <w:tcW w:type="dxa" w:w="3106"/>
          </w:tcPr>
          <w:p>
            <w:pPr>
              <w:jc w:val="right"/>
            </w:pPr>
            <w:r>
              <w:rPr>
                <w:b/>
              </w:rPr>
              <w:t>Page No.</w:t>
            </w:r>
          </w:p>
        </w:tc>
      </w:tr>
      <w:tr>
        <w:tc>
          <w:tcPr>
            <w:tcW w:type="dxa" w:w="3106"/>
          </w:tcPr>
          <w:p>
            <w:r>
              <w:rPr>
                <w:b/>
              </w:rPr>
              <w:t>BONAFIDE CERTIFICATE</w:t>
            </w:r>
          </w:p>
        </w:tc>
        <w:tc>
          <w:tcPr>
            <w:tcW w:type="dxa" w:w="3106"/>
          </w:tcPr>
          <w:p>
            <w:r/>
          </w:p>
        </w:tc>
        <w:tc>
          <w:tcPr>
            <w:tcW w:type="dxa" w:w="3106"/>
          </w:tcPr>
          <w:p>
            <w:pPr>
              <w:jc w:val="right"/>
            </w:pPr>
            <w:r>
              <w:t>2</w:t>
            </w:r>
          </w:p>
        </w:tc>
      </w:tr>
      <w:tr>
        <w:tc>
          <w:tcPr>
            <w:tcW w:type="dxa" w:w="3106"/>
          </w:tcPr>
          <w:p>
            <w:r>
              <w:t>CERTIFICATE OF VIVA-VOCE EXAMINATION</w:t>
            </w:r>
          </w:p>
        </w:tc>
        <w:tc>
          <w:tcPr>
            <w:tcW w:type="dxa" w:w="3106"/>
          </w:tcPr>
          <w:p>
            <w:r/>
          </w:p>
        </w:tc>
        <w:tc>
          <w:tcPr>
            <w:tcW w:type="dxa" w:w="3106"/>
          </w:tcPr>
          <w:p>
            <w:pPr>
              <w:jc w:val="right"/>
            </w:pPr>
            <w:r>
              <w:t>3</w:t>
            </w:r>
          </w:p>
        </w:tc>
      </w:tr>
      <w:tr>
        <w:tc>
          <w:tcPr>
            <w:tcW w:type="dxa" w:w="3106"/>
          </w:tcPr>
          <w:p>
            <w:r>
              <w:rPr>
                <w:b/>
              </w:rPr>
              <w:t>ABSTRACT</w:t>
            </w:r>
          </w:p>
        </w:tc>
        <w:tc>
          <w:tcPr>
            <w:tcW w:type="dxa" w:w="3106"/>
          </w:tcPr>
          <w:p>
            <w:r/>
          </w:p>
        </w:tc>
        <w:tc>
          <w:tcPr>
            <w:tcW w:type="dxa" w:w="3106"/>
          </w:tcPr>
          <w:p>
            <w:pPr>
              <w:jc w:val="right"/>
            </w:pPr>
            <w:r>
              <w:t>4</w:t>
            </w:r>
          </w:p>
        </w:tc>
      </w:tr>
      <w:tr>
        <w:tc>
          <w:tcPr>
            <w:tcW w:type="dxa" w:w="3106"/>
          </w:tcPr>
          <w:p>
            <w:r>
              <w:t>ACKNOWLEDGEMENT</w:t>
            </w:r>
          </w:p>
        </w:tc>
        <w:tc>
          <w:tcPr>
            <w:tcW w:type="dxa" w:w="3106"/>
          </w:tcPr>
          <w:p>
            <w:r/>
          </w:p>
        </w:tc>
        <w:tc>
          <w:tcPr>
            <w:tcW w:type="dxa" w:w="3106"/>
          </w:tcPr>
          <w:p>
            <w:pPr>
              <w:jc w:val="right"/>
            </w:pPr>
            <w:r>
              <w:t>5</w:t>
            </w:r>
          </w:p>
        </w:tc>
      </w:tr>
      <w:tr>
        <w:tc>
          <w:tcPr>
            <w:tcW w:type="dxa" w:w="3106"/>
          </w:tcPr>
          <w:p>
            <w:r>
              <w:rPr>
                <w:b/>
              </w:rPr>
              <w:t>CHAPTER 1</w:t>
            </w:r>
          </w:p>
        </w:tc>
        <w:tc>
          <w:tcPr>
            <w:tcW w:type="dxa" w:w="3106"/>
          </w:tcPr>
          <w:p>
            <w:r>
              <w:rPr>
                <w:b/>
              </w:rPr>
              <w:t>INTRODUCTION</w:t>
            </w:r>
          </w:p>
        </w:tc>
        <w:tc>
          <w:tcPr>
            <w:tcW w:type="dxa" w:w="3106"/>
          </w:tcPr>
          <w:p>
            <w:pPr>
              <w:jc w:val="right"/>
            </w:pPr>
            <w:r>
              <w:t>8</w:t>
            </w:r>
          </w:p>
        </w:tc>
      </w:tr>
      <w:tr>
        <w:tc>
          <w:tcPr>
            <w:tcW w:type="dxa" w:w="3106"/>
          </w:tcPr>
          <w:p>
            <w:r>
              <w:t>1.1</w:t>
            </w:r>
          </w:p>
        </w:tc>
        <w:tc>
          <w:tcPr>
            <w:tcW w:type="dxa" w:w="3106"/>
          </w:tcPr>
          <w:p>
            <w:r>
              <w:t>Overview &amp; Global Context of Digital Agriculture</w:t>
            </w:r>
          </w:p>
        </w:tc>
        <w:tc>
          <w:tcPr>
            <w:tcW w:type="dxa" w:w="3106"/>
          </w:tcPr>
          <w:p>
            <w:pPr>
              <w:jc w:val="right"/>
            </w:pPr>
            <w:r>
              <w:t>8</w:t>
            </w:r>
          </w:p>
        </w:tc>
      </w:tr>
      <w:tr>
        <w:tc>
          <w:tcPr>
            <w:tcW w:type="dxa" w:w="3106"/>
          </w:tcPr>
          <w:p>
            <w:r>
              <w:t>1.2</w:t>
            </w:r>
          </w:p>
        </w:tc>
        <w:tc>
          <w:tcPr>
            <w:tcW w:type="dxa" w:w="3106"/>
          </w:tcPr>
          <w:p>
            <w:r>
              <w:t>Problem Definition &amp; Statement in Precision Agriculture</w:t>
            </w:r>
          </w:p>
        </w:tc>
        <w:tc>
          <w:tcPr>
            <w:tcW w:type="dxa" w:w="3106"/>
          </w:tcPr>
          <w:p>
            <w:pPr>
              <w:jc w:val="right"/>
            </w:pPr>
            <w:r>
              <w:t>9</w:t>
            </w:r>
          </w:p>
        </w:tc>
      </w:tr>
      <w:tr>
        <w:tc>
          <w:tcPr>
            <w:tcW w:type="dxa" w:w="3106"/>
          </w:tcPr>
          <w:p>
            <w:r>
              <w:t>1.3</w:t>
            </w:r>
          </w:p>
        </w:tc>
        <w:tc>
          <w:tcPr>
            <w:tcW w:type="dxa" w:w="3106"/>
          </w:tcPr>
          <w:p>
            <w:r>
              <w:t>Project Objectives (Land Classification &amp; Action Plans)</w:t>
            </w:r>
          </w:p>
        </w:tc>
        <w:tc>
          <w:tcPr>
            <w:tcW w:type="dxa" w:w="3106"/>
          </w:tcPr>
          <w:p>
            <w:pPr>
              <w:jc w:val="right"/>
            </w:pPr>
            <w:r>
              <w:t>10</w:t>
            </w:r>
          </w:p>
        </w:tc>
      </w:tr>
      <w:tr>
        <w:tc>
          <w:tcPr>
            <w:tcW w:type="dxa" w:w="3106"/>
          </w:tcPr>
          <w:p>
            <w:r>
              <w:t>1.4</w:t>
            </w:r>
          </w:p>
        </w:tc>
        <w:tc>
          <w:tcPr>
            <w:tcW w:type="dxa" w:w="3106"/>
          </w:tcPr>
          <w:p>
            <w:r>
              <w:t>Scope of the Project (Operational Boundaries &amp; Constraints)</w:t>
            </w:r>
          </w:p>
        </w:tc>
        <w:tc>
          <w:tcPr>
            <w:tcW w:type="dxa" w:w="3106"/>
          </w:tcPr>
          <w:p>
            <w:pPr>
              <w:jc w:val="right"/>
            </w:pPr>
            <w:r>
              <w:t>11</w:t>
            </w:r>
          </w:p>
        </w:tc>
      </w:tr>
      <w:tr>
        <w:tc>
          <w:tcPr>
            <w:tcW w:type="dxa" w:w="3106"/>
          </w:tcPr>
          <w:p>
            <w:r>
              <w:t>1.5</w:t>
            </w:r>
          </w:p>
        </w:tc>
        <w:tc>
          <w:tcPr>
            <w:tcW w:type="dxa" w:w="3106"/>
          </w:tcPr>
          <w:p>
            <w:r>
              <w:t>Motivation &amp; Societal / Agronomic Significance</w:t>
            </w:r>
          </w:p>
        </w:tc>
        <w:tc>
          <w:tcPr>
            <w:tcW w:type="dxa" w:w="3106"/>
          </w:tcPr>
          <w:p>
            <w:pPr>
              <w:jc w:val="right"/>
            </w:pPr>
            <w:r>
              <w:t>12</w:t>
            </w:r>
          </w:p>
        </w:tc>
      </w:tr>
      <w:tr>
        <w:tc>
          <w:tcPr>
            <w:tcW w:type="dxa" w:w="3106"/>
          </w:tcPr>
          <w:p>
            <w:r>
              <w:rPr>
                <w:b/>
              </w:rPr>
              <w:t>CHAPTER 2</w:t>
            </w:r>
          </w:p>
        </w:tc>
        <w:tc>
          <w:tcPr>
            <w:tcW w:type="dxa" w:w="3106"/>
          </w:tcPr>
          <w:p>
            <w:r>
              <w:rPr>
                <w:b/>
              </w:rPr>
              <w:t>RELATED WORK</w:t>
            </w:r>
          </w:p>
        </w:tc>
        <w:tc>
          <w:tcPr>
            <w:tcW w:type="dxa" w:w="3106"/>
          </w:tcPr>
          <w:p>
            <w:pPr>
              <w:jc w:val="right"/>
            </w:pPr>
            <w:r>
              <w:t>13</w:t>
            </w:r>
          </w:p>
        </w:tc>
      </w:tr>
      <w:tr>
        <w:tc>
          <w:tcPr>
            <w:tcW w:type="dxa" w:w="3106"/>
          </w:tcPr>
          <w:p>
            <w:r>
              <w:t>2.1</w:t>
            </w:r>
          </w:p>
        </w:tc>
        <w:tc>
          <w:tcPr>
            <w:tcW w:type="dxa" w:w="3106"/>
          </w:tcPr>
          <w:p>
            <w:r>
              <w:t>Literature Review: Satellite Remote Sensing &amp; Agricultural AI</w:t>
            </w:r>
          </w:p>
        </w:tc>
        <w:tc>
          <w:tcPr>
            <w:tcW w:type="dxa" w:w="3106"/>
          </w:tcPr>
          <w:p>
            <w:pPr>
              <w:jc w:val="right"/>
            </w:pPr>
            <w:r>
              <w:t>13</w:t>
            </w:r>
          </w:p>
        </w:tc>
      </w:tr>
      <w:tr>
        <w:tc>
          <w:tcPr>
            <w:tcW w:type="dxa" w:w="3106"/>
          </w:tcPr>
          <w:p>
            <w:r>
              <w:t>2.1.2</w:t>
            </w:r>
          </w:p>
        </w:tc>
        <w:tc>
          <w:tcPr>
            <w:tcW w:type="dxa" w:w="3106"/>
          </w:tcPr>
          <w:p>
            <w:r>
              <w:t>Optical Indices (NDVI, NDMI, NDBI) &amp; Surface Telemetry</w:t>
            </w:r>
          </w:p>
        </w:tc>
        <w:tc>
          <w:tcPr>
            <w:tcW w:type="dxa" w:w="3106"/>
          </w:tcPr>
          <w:p>
            <w:pPr>
              <w:jc w:val="right"/>
            </w:pPr>
            <w:r>
              <w:t>14</w:t>
            </w:r>
          </w:p>
        </w:tc>
      </w:tr>
      <w:tr>
        <w:tc>
          <w:tcPr>
            <w:tcW w:type="dxa" w:w="3106"/>
          </w:tcPr>
          <w:p>
            <w:r>
              <w:t>2.1.3</w:t>
            </w:r>
          </w:p>
        </w:tc>
        <w:tc>
          <w:tcPr>
            <w:tcW w:type="dxa" w:w="3106"/>
          </w:tcPr>
          <w:p>
            <w:r>
              <w:t>FAO-56 Penman-Monteith Evapotranspiration &amp; Water Balance</w:t>
            </w:r>
          </w:p>
        </w:tc>
        <w:tc>
          <w:tcPr>
            <w:tcW w:type="dxa" w:w="3106"/>
          </w:tcPr>
          <w:p>
            <w:pPr>
              <w:jc w:val="right"/>
            </w:pPr>
            <w:r>
              <w:t>15</w:t>
            </w:r>
          </w:p>
        </w:tc>
      </w:tr>
      <w:tr>
        <w:tc>
          <w:tcPr>
            <w:tcW w:type="dxa" w:w="3106"/>
          </w:tcPr>
          <w:p>
            <w:r>
              <w:t>2.1.4</w:t>
            </w:r>
          </w:p>
        </w:tc>
        <w:tc>
          <w:tcPr>
            <w:tcW w:type="dxa" w:w="3106"/>
          </w:tcPr>
          <w:p>
            <w:r>
              <w:t>Agricultural Decision Support Systems &amp; Explainability</w:t>
            </w:r>
          </w:p>
        </w:tc>
        <w:tc>
          <w:tcPr>
            <w:tcW w:type="dxa" w:w="3106"/>
          </w:tcPr>
          <w:p>
            <w:pPr>
              <w:jc w:val="right"/>
            </w:pPr>
            <w:r>
              <w:t>16</w:t>
            </w:r>
          </w:p>
        </w:tc>
      </w:tr>
      <w:tr>
        <w:tc>
          <w:tcPr>
            <w:tcW w:type="dxa" w:w="3106"/>
          </w:tcPr>
          <w:p>
            <w:r>
              <w:t>2.2</w:t>
            </w:r>
          </w:p>
        </w:tc>
        <w:tc>
          <w:tcPr>
            <w:tcW w:type="dxa" w:w="3106"/>
          </w:tcPr>
          <w:p>
            <w:r>
              <w:t>Existing Systems &amp; Their Operational Deficiencies</w:t>
            </w:r>
          </w:p>
        </w:tc>
        <w:tc>
          <w:tcPr>
            <w:tcW w:type="dxa" w:w="3106"/>
          </w:tcPr>
          <w:p>
            <w:pPr>
              <w:jc w:val="right"/>
            </w:pPr>
            <w:r>
              <w:t>17</w:t>
            </w:r>
          </w:p>
        </w:tc>
      </w:tr>
      <w:tr>
        <w:tc>
          <w:tcPr>
            <w:tcW w:type="dxa" w:w="3106"/>
          </w:tcPr>
          <w:p>
            <w:r>
              <w:t>2.3</w:t>
            </w:r>
          </w:p>
        </w:tc>
        <w:tc>
          <w:tcPr>
            <w:tcW w:type="dxa" w:w="3106"/>
          </w:tcPr>
          <w:p>
            <w:r>
              <w:t>Proposed System Architecture &amp; Distinct Innovations</w:t>
            </w:r>
          </w:p>
        </w:tc>
        <w:tc>
          <w:tcPr>
            <w:tcW w:type="dxa" w:w="3106"/>
          </w:tcPr>
          <w:p>
            <w:pPr>
              <w:jc w:val="right"/>
            </w:pPr>
            <w:r>
              <w:t>18</w:t>
            </w:r>
          </w:p>
        </w:tc>
      </w:tr>
      <w:tr>
        <w:tc>
          <w:tcPr>
            <w:tcW w:type="dxa" w:w="3106"/>
          </w:tcPr>
          <w:p>
            <w:r>
              <w:rPr>
                <w:b/>
              </w:rPr>
              <w:t>CHAPTER 3</w:t>
            </w:r>
          </w:p>
        </w:tc>
        <w:tc>
          <w:tcPr>
            <w:tcW w:type="dxa" w:w="3106"/>
          </w:tcPr>
          <w:p>
            <w:r>
              <w:rPr>
                <w:b/>
              </w:rPr>
              <w:t>SYSTEM ANALYSIS</w:t>
            </w:r>
          </w:p>
        </w:tc>
        <w:tc>
          <w:tcPr>
            <w:tcW w:type="dxa" w:w="3106"/>
          </w:tcPr>
          <w:p>
            <w:pPr>
              <w:jc w:val="right"/>
            </w:pPr>
            <w:r>
              <w:t>19</w:t>
            </w:r>
          </w:p>
        </w:tc>
      </w:tr>
      <w:tr>
        <w:tc>
          <w:tcPr>
            <w:tcW w:type="dxa" w:w="3106"/>
          </w:tcPr>
          <w:p>
            <w:r>
              <w:t>3.1</w:t>
            </w:r>
          </w:p>
        </w:tc>
        <w:tc>
          <w:tcPr>
            <w:tcW w:type="dxa" w:w="3106"/>
          </w:tcPr>
          <w:p>
            <w:r>
              <w:t>Functional Requirements Analysis</w:t>
            </w:r>
          </w:p>
        </w:tc>
        <w:tc>
          <w:tcPr>
            <w:tcW w:type="dxa" w:w="3106"/>
          </w:tcPr>
          <w:p>
            <w:pPr>
              <w:jc w:val="right"/>
            </w:pPr>
            <w:r>
              <w:t>19</w:t>
            </w:r>
          </w:p>
        </w:tc>
      </w:tr>
      <w:tr>
        <w:tc>
          <w:tcPr>
            <w:tcW w:type="dxa" w:w="3106"/>
          </w:tcPr>
          <w:p>
            <w:r>
              <w:t>3.2</w:t>
            </w:r>
          </w:p>
        </w:tc>
        <w:tc>
          <w:tcPr>
            <w:tcW w:type="dxa" w:w="3106"/>
          </w:tcPr>
          <w:p>
            <w:r>
              <w:t>Non-Functional Requirements Analysis</w:t>
            </w:r>
          </w:p>
        </w:tc>
        <w:tc>
          <w:tcPr>
            <w:tcW w:type="dxa" w:w="3106"/>
          </w:tcPr>
          <w:p>
            <w:pPr>
              <w:jc w:val="right"/>
            </w:pPr>
            <w:r>
              <w:t>20</w:t>
            </w:r>
          </w:p>
        </w:tc>
      </w:tr>
      <w:tr>
        <w:tc>
          <w:tcPr>
            <w:tcW w:type="dxa" w:w="3106"/>
          </w:tcPr>
          <w:p>
            <w:r>
              <w:t>3.3</w:t>
            </w:r>
          </w:p>
        </w:tc>
        <w:tc>
          <w:tcPr>
            <w:tcW w:type="dxa" w:w="3106"/>
          </w:tcPr>
          <w:p>
            <w:r>
              <w:t>Hardware &amp; Software System Specifications</w:t>
            </w:r>
          </w:p>
        </w:tc>
        <w:tc>
          <w:tcPr>
            <w:tcW w:type="dxa" w:w="3106"/>
          </w:tcPr>
          <w:p>
            <w:pPr>
              <w:jc w:val="right"/>
            </w:pPr>
            <w:r>
              <w:t>21</w:t>
            </w:r>
          </w:p>
        </w:tc>
      </w:tr>
      <w:tr>
        <w:tc>
          <w:tcPr>
            <w:tcW w:type="dxa" w:w="3106"/>
          </w:tcPr>
          <w:p>
            <w:r>
              <w:t>3.4</w:t>
            </w:r>
          </w:p>
        </w:tc>
        <w:tc>
          <w:tcPr>
            <w:tcW w:type="dxa" w:w="3106"/>
          </w:tcPr>
          <w:p>
            <w:r>
              <w:t>Feasibility Study, Assumptions &amp; Operational Constraints</w:t>
            </w:r>
          </w:p>
        </w:tc>
        <w:tc>
          <w:tcPr>
            <w:tcW w:type="dxa" w:w="3106"/>
          </w:tcPr>
          <w:p>
            <w:pPr>
              <w:jc w:val="right"/>
            </w:pPr>
            <w:r>
              <w:t>22</w:t>
            </w:r>
          </w:p>
        </w:tc>
      </w:tr>
      <w:tr>
        <w:tc>
          <w:tcPr>
            <w:tcW w:type="dxa" w:w="3106"/>
          </w:tcPr>
          <w:p>
            <w:r>
              <w:rPr>
                <w:b/>
              </w:rPr>
              <w:t>CHAPTER 4</w:t>
            </w:r>
          </w:p>
        </w:tc>
        <w:tc>
          <w:tcPr>
            <w:tcW w:type="dxa" w:w="3106"/>
          </w:tcPr>
          <w:p>
            <w:r>
              <w:rPr>
                <w:b/>
              </w:rPr>
              <w:t>SYSTEM DESIGN</w:t>
            </w:r>
          </w:p>
        </w:tc>
        <w:tc>
          <w:tcPr>
            <w:tcW w:type="dxa" w:w="3106"/>
          </w:tcPr>
          <w:p>
            <w:pPr>
              <w:jc w:val="right"/>
            </w:pPr>
            <w:r>
              <w:t>23</w:t>
            </w:r>
          </w:p>
        </w:tc>
      </w:tr>
      <w:tr>
        <w:tc>
          <w:tcPr>
            <w:tcW w:type="dxa" w:w="3106"/>
          </w:tcPr>
          <w:p>
            <w:r>
              <w:t>4.1</w:t>
            </w:r>
          </w:p>
        </w:tc>
        <w:tc>
          <w:tcPr>
            <w:tcW w:type="dxa" w:w="3106"/>
          </w:tcPr>
          <w:p>
            <w:r>
              <w:t>System Architecture Design (Multi-Tier MERN Architecture)</w:t>
            </w:r>
          </w:p>
        </w:tc>
        <w:tc>
          <w:tcPr>
            <w:tcW w:type="dxa" w:w="3106"/>
          </w:tcPr>
          <w:p>
            <w:pPr>
              <w:jc w:val="right"/>
            </w:pPr>
            <w:r>
              <w:t>23</w:t>
            </w:r>
          </w:p>
        </w:tc>
      </w:tr>
      <w:tr>
        <w:tc>
          <w:tcPr>
            <w:tcW w:type="dxa" w:w="3106"/>
          </w:tcPr>
          <w:p>
            <w:r>
              <w:t>4.2</w:t>
            </w:r>
          </w:p>
        </w:tc>
        <w:tc>
          <w:tcPr>
            <w:tcW w:type="dxa" w:w="3106"/>
          </w:tcPr>
          <w:p>
            <w:r>
              <w:t>Detailed Module Descriptions</w:t>
            </w:r>
          </w:p>
        </w:tc>
        <w:tc>
          <w:tcPr>
            <w:tcW w:type="dxa" w:w="3106"/>
          </w:tcPr>
          <w:p>
            <w:pPr>
              <w:jc w:val="right"/>
            </w:pPr>
            <w:r>
              <w:t>24</w:t>
            </w:r>
          </w:p>
        </w:tc>
      </w:tr>
      <w:tr>
        <w:tc>
          <w:tcPr>
            <w:tcW w:type="dxa" w:w="3106"/>
          </w:tcPr>
          <w:p>
            <w:r>
              <w:t>4.3</w:t>
            </w:r>
          </w:p>
        </w:tc>
        <w:tc>
          <w:tcPr>
            <w:tcW w:type="dxa" w:w="3106"/>
          </w:tcPr>
          <w:p>
            <w:r>
              <w:t>Use-Case Diagram &amp; Interaction Analysis</w:t>
            </w:r>
          </w:p>
        </w:tc>
        <w:tc>
          <w:tcPr>
            <w:tcW w:type="dxa" w:w="3106"/>
          </w:tcPr>
          <w:p>
            <w:pPr>
              <w:jc w:val="right"/>
            </w:pPr>
            <w:r>
              <w:t>25</w:t>
            </w:r>
          </w:p>
        </w:tc>
      </w:tr>
      <w:tr>
        <w:tc>
          <w:tcPr>
            <w:tcW w:type="dxa" w:w="3106"/>
          </w:tcPr>
          <w:p>
            <w:r>
              <w:t>4.4</w:t>
            </w:r>
          </w:p>
        </w:tc>
        <w:tc>
          <w:tcPr>
            <w:tcW w:type="dxa" w:w="3106"/>
          </w:tcPr>
          <w:p>
            <w:r>
              <w:t>Entity-Relationship (ER) Diagram &amp; Data Model</w:t>
            </w:r>
          </w:p>
        </w:tc>
        <w:tc>
          <w:tcPr>
            <w:tcW w:type="dxa" w:w="3106"/>
          </w:tcPr>
          <w:p>
            <w:pPr>
              <w:jc w:val="right"/>
            </w:pPr>
            <w:r>
              <w:t>26</w:t>
            </w:r>
          </w:p>
        </w:tc>
      </w:tr>
      <w:tr>
        <w:tc>
          <w:tcPr>
            <w:tcW w:type="dxa" w:w="3106"/>
          </w:tcPr>
          <w:p>
            <w:r>
              <w:t>4.5</w:t>
            </w:r>
          </w:p>
        </w:tc>
        <w:tc>
          <w:tcPr>
            <w:tcW w:type="dxa" w:w="3106"/>
          </w:tcPr>
          <w:p>
            <w:r>
              <w:t>Component &amp; Class Architecture Diagram</w:t>
            </w:r>
          </w:p>
        </w:tc>
        <w:tc>
          <w:tcPr>
            <w:tcW w:type="dxa" w:w="3106"/>
          </w:tcPr>
          <w:p>
            <w:pPr>
              <w:jc w:val="right"/>
            </w:pPr>
            <w:r>
              <w:t>27</w:t>
            </w:r>
          </w:p>
        </w:tc>
      </w:tr>
      <w:tr>
        <w:tc>
          <w:tcPr>
            <w:tcW w:type="dxa" w:w="3106"/>
          </w:tcPr>
          <w:p>
            <w:r>
              <w:t>4.6</w:t>
            </w:r>
          </w:p>
        </w:tc>
        <w:tc>
          <w:tcPr>
            <w:tcW w:type="dxa" w:w="3106"/>
          </w:tcPr>
          <w:p>
            <w:r>
              <w:t>Sequence Diagram: Coordinate Ingestion &amp; Decision Flow</w:t>
            </w:r>
          </w:p>
        </w:tc>
        <w:tc>
          <w:tcPr>
            <w:tcW w:type="dxa" w:w="3106"/>
          </w:tcPr>
          <w:p>
            <w:pPr>
              <w:jc w:val="right"/>
            </w:pPr>
            <w:r>
              <w:t>28</w:t>
            </w:r>
          </w:p>
        </w:tc>
      </w:tr>
      <w:tr>
        <w:tc>
          <w:tcPr>
            <w:tcW w:type="dxa" w:w="3106"/>
          </w:tcPr>
          <w:p>
            <w:r>
              <w:t>4.7</w:t>
            </w:r>
          </w:p>
        </w:tc>
        <w:tc>
          <w:tcPr>
            <w:tcW w:type="dxa" w:w="3106"/>
          </w:tcPr>
          <w:p>
            <w:r>
              <w:t>Database Design &amp; Collection Schema Specifications</w:t>
            </w:r>
          </w:p>
        </w:tc>
        <w:tc>
          <w:tcPr>
            <w:tcW w:type="dxa" w:w="3106"/>
          </w:tcPr>
          <w:p>
            <w:pPr>
              <w:jc w:val="right"/>
            </w:pPr>
            <w:r>
              <w:t>29</w:t>
            </w:r>
          </w:p>
        </w:tc>
      </w:tr>
      <w:tr>
        <w:tc>
          <w:tcPr>
            <w:tcW w:type="dxa" w:w="3106"/>
          </w:tcPr>
          <w:p>
            <w:r>
              <w:t>4.8</w:t>
            </w:r>
          </w:p>
        </w:tc>
        <w:tc>
          <w:tcPr>
            <w:tcW w:type="dxa" w:w="3106"/>
          </w:tcPr>
          <w:p>
            <w:r>
              <w:t>RESTful API Design &amp; Endpoint Contracts</w:t>
            </w:r>
          </w:p>
        </w:tc>
        <w:tc>
          <w:tcPr>
            <w:tcW w:type="dxa" w:w="3106"/>
          </w:tcPr>
          <w:p>
            <w:pPr>
              <w:jc w:val="right"/>
            </w:pPr>
            <w:r>
              <w:t>31</w:t>
            </w:r>
          </w:p>
        </w:tc>
      </w:tr>
      <w:tr>
        <w:tc>
          <w:tcPr>
            <w:tcW w:type="dxa" w:w="3106"/>
          </w:tcPr>
          <w:p>
            <w:r>
              <w:t>4.9</w:t>
            </w:r>
          </w:p>
        </w:tc>
        <w:tc>
          <w:tcPr>
            <w:tcW w:type="dxa" w:w="3106"/>
          </w:tcPr>
          <w:p>
            <w:r>
              <w:t>Land Classification Heuristics &amp; Deterministic Agronomic Logic</w:t>
            </w:r>
          </w:p>
        </w:tc>
        <w:tc>
          <w:tcPr>
            <w:tcW w:type="dxa" w:w="3106"/>
          </w:tcPr>
          <w:p>
            <w:pPr>
              <w:jc w:val="right"/>
            </w:pPr>
            <w:r>
              <w:t>32</w:t>
            </w:r>
          </w:p>
        </w:tc>
      </w:tr>
      <w:tr>
        <w:tc>
          <w:tcPr>
            <w:tcW w:type="dxa" w:w="3106"/>
          </w:tcPr>
          <w:p>
            <w:r>
              <w:rPr>
                <w:b/>
              </w:rPr>
              <w:t>CHAPTER 5</w:t>
            </w:r>
          </w:p>
        </w:tc>
        <w:tc>
          <w:tcPr>
            <w:tcW w:type="dxa" w:w="3106"/>
          </w:tcPr>
          <w:p>
            <w:r>
              <w:rPr>
                <w:b/>
              </w:rPr>
              <w:t>IMPLEMENTATION</w:t>
            </w:r>
          </w:p>
        </w:tc>
        <w:tc>
          <w:tcPr>
            <w:tcW w:type="dxa" w:w="3106"/>
          </w:tcPr>
          <w:p>
            <w:pPr>
              <w:jc w:val="right"/>
            </w:pPr>
            <w:r>
              <w:t>33</w:t>
            </w:r>
          </w:p>
        </w:tc>
      </w:tr>
      <w:tr>
        <w:tc>
          <w:tcPr>
            <w:tcW w:type="dxa" w:w="3106"/>
          </w:tcPr>
          <w:p>
            <w:r>
              <w:t>5.1</w:t>
            </w:r>
          </w:p>
        </w:tc>
        <w:tc>
          <w:tcPr>
            <w:tcW w:type="dxa" w:w="3106"/>
          </w:tcPr>
          <w:p>
            <w:r>
              <w:t>Implementation Overview &amp; Full-Stack Integration</w:t>
            </w:r>
          </w:p>
        </w:tc>
        <w:tc>
          <w:tcPr>
            <w:tcW w:type="dxa" w:w="3106"/>
          </w:tcPr>
          <w:p>
            <w:pPr>
              <w:jc w:val="right"/>
            </w:pPr>
            <w:r>
              <w:t>33</w:t>
            </w:r>
          </w:p>
        </w:tc>
      </w:tr>
      <w:tr>
        <w:tc>
          <w:tcPr>
            <w:tcW w:type="dxa" w:w="3106"/>
          </w:tcPr>
          <w:p>
            <w:r>
              <w:t>5.2</w:t>
            </w:r>
          </w:p>
        </w:tc>
        <w:tc>
          <w:tcPr>
            <w:tcW w:type="dxa" w:w="3106"/>
          </w:tcPr>
          <w:p>
            <w:r>
              <w:t>Frontend React Components &amp; State Management</w:t>
            </w:r>
          </w:p>
        </w:tc>
        <w:tc>
          <w:tcPr>
            <w:tcW w:type="dxa" w:w="3106"/>
          </w:tcPr>
          <w:p>
            <w:pPr>
              <w:jc w:val="right"/>
            </w:pPr>
            <w:r>
              <w:t>34</w:t>
            </w:r>
          </w:p>
        </w:tc>
      </w:tr>
      <w:tr>
        <w:tc>
          <w:tcPr>
            <w:tcW w:type="dxa" w:w="3106"/>
          </w:tcPr>
          <w:p>
            <w:r>
              <w:t>5.3</w:t>
            </w:r>
          </w:p>
        </w:tc>
        <w:tc>
          <w:tcPr>
            <w:tcW w:type="dxa" w:w="3106"/>
          </w:tcPr>
          <w:p>
            <w:r>
              <w:t>Backend Express Server, Routes, and Controller Architecture</w:t>
            </w:r>
          </w:p>
        </w:tc>
        <w:tc>
          <w:tcPr>
            <w:tcW w:type="dxa" w:w="3106"/>
          </w:tcPr>
          <w:p>
            <w:pPr>
              <w:jc w:val="right"/>
            </w:pPr>
            <w:r>
              <w:t>35</w:t>
            </w:r>
          </w:p>
        </w:tc>
      </w:tr>
      <w:tr>
        <w:tc>
          <w:tcPr>
            <w:tcW w:type="dxa" w:w="3106"/>
          </w:tcPr>
          <w:p>
            <w:r>
              <w:t>5.4</w:t>
            </w:r>
          </w:p>
        </w:tc>
        <w:tc>
          <w:tcPr>
            <w:tcW w:type="dxa" w:w="3106"/>
          </w:tcPr>
          <w:p>
            <w:r>
              <w:t>Mongoose Schemas &amp; Geospatial Persistence Implementation</w:t>
            </w:r>
          </w:p>
        </w:tc>
        <w:tc>
          <w:tcPr>
            <w:tcW w:type="dxa" w:w="3106"/>
          </w:tcPr>
          <w:p>
            <w:pPr>
              <w:jc w:val="right"/>
            </w:pPr>
            <w:r>
              <w:t>36</w:t>
            </w:r>
          </w:p>
        </w:tc>
      </w:tr>
      <w:tr>
        <w:tc>
          <w:tcPr>
            <w:tcW w:type="dxa" w:w="3106"/>
          </w:tcPr>
          <w:p>
            <w:r>
              <w:t>5.5</w:t>
            </w:r>
          </w:p>
        </w:tc>
        <w:tc>
          <w:tcPr>
            <w:tcW w:type="dxa" w:w="3106"/>
          </w:tcPr>
          <w:p>
            <w:r>
              <w:t>Core Land Classification Engine &amp; Sentinel-2 Logic</w:t>
            </w:r>
          </w:p>
        </w:tc>
        <w:tc>
          <w:tcPr>
            <w:tcW w:type="dxa" w:w="3106"/>
          </w:tcPr>
          <w:p>
            <w:pPr>
              <w:jc w:val="right"/>
            </w:pPr>
            <w:r>
              <w:t>37</w:t>
            </w:r>
          </w:p>
        </w:tc>
      </w:tr>
      <w:tr>
        <w:tc>
          <w:tcPr>
            <w:tcW w:type="dxa" w:w="3106"/>
          </w:tcPr>
          <w:p>
            <w:r>
              <w:t>5.6</w:t>
            </w:r>
          </w:p>
        </w:tc>
        <w:tc>
          <w:tcPr>
            <w:tcW w:type="dxa" w:w="3106"/>
          </w:tcPr>
          <w:p>
            <w:r>
              <w:t>AgroEngine: Evapotranspiration, Soil Depletion &amp; Disease Risk</w:t>
            </w:r>
          </w:p>
        </w:tc>
        <w:tc>
          <w:tcPr>
            <w:tcW w:type="dxa" w:w="3106"/>
          </w:tcPr>
          <w:p>
            <w:pPr>
              <w:jc w:val="right"/>
            </w:pPr>
            <w:r>
              <w:t>38</w:t>
            </w:r>
          </w:p>
        </w:tc>
      </w:tr>
      <w:tr>
        <w:tc>
          <w:tcPr>
            <w:tcW w:type="dxa" w:w="3106"/>
          </w:tcPr>
          <w:p>
            <w:r>
              <w:t>5.7</w:t>
            </w:r>
          </w:p>
        </w:tc>
        <w:tc>
          <w:tcPr>
            <w:tcW w:type="dxa" w:w="3106"/>
          </w:tcPr>
          <w:p>
            <w:r>
              <w:t>Explainable Action Card Dispatcher with Note Badges</w:t>
            </w:r>
          </w:p>
        </w:tc>
        <w:tc>
          <w:tcPr>
            <w:tcW w:type="dxa" w:w="3106"/>
          </w:tcPr>
          <w:p>
            <w:pPr>
              <w:jc w:val="right"/>
            </w:pPr>
            <w:r>
              <w:t>39</w:t>
            </w:r>
          </w:p>
        </w:tc>
      </w:tr>
      <w:tr>
        <w:tc>
          <w:tcPr>
            <w:tcW w:type="dxa" w:w="3106"/>
          </w:tcPr>
          <w:p>
            <w:r>
              <w:rPr>
                <w:b/>
              </w:rPr>
              <w:t>CHAPTER 6</w:t>
            </w:r>
          </w:p>
        </w:tc>
        <w:tc>
          <w:tcPr>
            <w:tcW w:type="dxa" w:w="3106"/>
          </w:tcPr>
          <w:p>
            <w:r>
              <w:rPr>
                <w:b/>
              </w:rPr>
              <w:t>CONCLUSION AND FUTURE WORK</w:t>
            </w:r>
          </w:p>
        </w:tc>
        <w:tc>
          <w:tcPr>
            <w:tcW w:type="dxa" w:w="3106"/>
          </w:tcPr>
          <w:p>
            <w:pPr>
              <w:jc w:val="right"/>
            </w:pPr>
            <w:r>
              <w:t>41</w:t>
            </w:r>
          </w:p>
        </w:tc>
      </w:tr>
      <w:tr>
        <w:tc>
          <w:tcPr>
            <w:tcW w:type="dxa" w:w="3106"/>
          </w:tcPr>
          <w:p>
            <w:r>
              <w:t>6.1</w:t>
            </w:r>
          </w:p>
        </w:tc>
        <w:tc>
          <w:tcPr>
            <w:tcW w:type="dxa" w:w="3106"/>
          </w:tcPr>
          <w:p>
            <w:r>
              <w:t>Conclusion (Summary of Achievements &amp; System Value)</w:t>
            </w:r>
          </w:p>
        </w:tc>
        <w:tc>
          <w:tcPr>
            <w:tcW w:type="dxa" w:w="3106"/>
          </w:tcPr>
          <w:p>
            <w:pPr>
              <w:jc w:val="right"/>
            </w:pPr>
            <w:r>
              <w:t>41</w:t>
            </w:r>
          </w:p>
        </w:tc>
      </w:tr>
      <w:tr>
        <w:tc>
          <w:tcPr>
            <w:tcW w:type="dxa" w:w="3106"/>
          </w:tcPr>
          <w:p>
            <w:r>
              <w:t>6.2</w:t>
            </w:r>
          </w:p>
        </w:tc>
        <w:tc>
          <w:tcPr>
            <w:tcW w:type="dxa" w:w="3106"/>
          </w:tcPr>
          <w:p>
            <w:r>
              <w:t>Future Enhancements (Edge IoT, Multispectral UAV, Forecasting)</w:t>
            </w:r>
          </w:p>
        </w:tc>
        <w:tc>
          <w:tcPr>
            <w:tcW w:type="dxa" w:w="3106"/>
          </w:tcPr>
          <w:p>
            <w:pPr>
              <w:jc w:val="right"/>
            </w:pPr>
            <w:r>
              <w:t>42</w:t>
            </w:r>
          </w:p>
        </w:tc>
      </w:tr>
      <w:tr>
        <w:tc>
          <w:tcPr>
            <w:tcW w:type="dxa" w:w="3106"/>
          </w:tcPr>
          <w:p>
            <w:r>
              <w:rPr>
                <w:b/>
              </w:rPr>
              <w:t>APPENDIX</w:t>
            </w:r>
          </w:p>
        </w:tc>
        <w:tc>
          <w:tcPr>
            <w:tcW w:type="dxa" w:w="3106"/>
          </w:tcPr>
          <w:p>
            <w:r>
              <w:t>SOURCE CODE AND TECHNICAL DETAILS</w:t>
            </w:r>
          </w:p>
        </w:tc>
        <w:tc>
          <w:tcPr>
            <w:tcW w:type="dxa" w:w="3106"/>
          </w:tcPr>
          <w:p>
            <w:pPr>
              <w:jc w:val="right"/>
            </w:pPr>
            <w:r>
              <w:t>43</w:t>
            </w:r>
          </w:p>
        </w:tc>
      </w:tr>
      <w:tr>
        <w:tc>
          <w:tcPr>
            <w:tcW w:type="dxa" w:w="3106"/>
          </w:tcPr>
          <w:p>
            <w:r>
              <w:t>A.1</w:t>
            </w:r>
          </w:p>
        </w:tc>
        <w:tc>
          <w:tcPr>
            <w:tcW w:type="dxa" w:w="3106"/>
          </w:tcPr>
          <w:p>
            <w:r>
              <w:t>Verified Project Structure &amp; Local Execution Instructions</w:t>
            </w:r>
          </w:p>
        </w:tc>
        <w:tc>
          <w:tcPr>
            <w:tcW w:type="dxa" w:w="3106"/>
          </w:tcPr>
          <w:p>
            <w:pPr>
              <w:jc w:val="right"/>
            </w:pPr>
            <w:r>
              <w:t>43</w:t>
            </w:r>
          </w:p>
        </w:tc>
      </w:tr>
      <w:tr>
        <w:tc>
          <w:tcPr>
            <w:tcW w:type="dxa" w:w="3106"/>
          </w:tcPr>
          <w:p>
            <w:r>
              <w:t>A.2</w:t>
            </w:r>
          </w:p>
        </w:tc>
        <w:tc>
          <w:tcPr>
            <w:tcW w:type="dxa" w:w="3106"/>
          </w:tcPr>
          <w:p>
            <w:r>
              <w:t>Database Schema &amp; History Model, Land Classifier Service</w:t>
            </w:r>
          </w:p>
        </w:tc>
        <w:tc>
          <w:tcPr>
            <w:tcW w:type="dxa" w:w="3106"/>
          </w:tcPr>
          <w:p>
            <w:pPr>
              <w:jc w:val="right"/>
            </w:pPr>
            <w:r>
              <w:t>44</w:t>
            </w:r>
          </w:p>
        </w:tc>
      </w:tr>
      <w:tr>
        <w:tc>
          <w:tcPr>
            <w:tcW w:type="dxa" w:w="3106"/>
          </w:tcPr>
          <w:p>
            <w:r>
              <w:t>A.3</w:t>
            </w:r>
          </w:p>
        </w:tc>
        <w:tc>
          <w:tcPr>
            <w:tcW w:type="dxa" w:w="3106"/>
          </w:tcPr>
          <w:p>
            <w:r>
              <w:t>AgroEngine Calculation Service &amp; Action Card Dispatcher</w:t>
            </w:r>
          </w:p>
        </w:tc>
        <w:tc>
          <w:tcPr>
            <w:tcW w:type="dxa" w:w="3106"/>
          </w:tcPr>
          <w:p>
            <w:pPr>
              <w:jc w:val="right"/>
            </w:pPr>
            <w:r>
              <w:t>45</w:t>
            </w:r>
          </w:p>
        </w:tc>
      </w:tr>
      <w:tr>
        <w:tc>
          <w:tcPr>
            <w:tcW w:type="dxa" w:w="3106"/>
          </w:tcPr>
          <w:p>
            <w:r>
              <w:t>A.4</w:t>
            </w:r>
          </w:p>
        </w:tc>
        <w:tc>
          <w:tcPr>
            <w:tcW w:type="dxa" w:w="3106"/>
          </w:tcPr>
          <w:p>
            <w:r>
              <w:t>System Verification &amp; Automated Test Suite Execution</w:t>
            </w:r>
          </w:p>
        </w:tc>
        <w:tc>
          <w:tcPr>
            <w:tcW w:type="dxa" w:w="3106"/>
          </w:tcPr>
          <w:p>
            <w:pPr>
              <w:jc w:val="right"/>
            </w:pPr>
            <w:r>
              <w:t>46</w:t>
            </w:r>
          </w:p>
        </w:tc>
      </w:tr>
      <w:tr>
        <w:tc>
          <w:tcPr>
            <w:tcW w:type="dxa" w:w="3106"/>
          </w:tcPr>
          <w:p>
            <w:r>
              <w:rPr>
                <w:b/>
              </w:rPr>
              <w:t>CHAPTER 7</w:t>
            </w:r>
          </w:p>
        </w:tc>
        <w:tc>
          <w:tcPr>
            <w:tcW w:type="dxa" w:w="3106"/>
          </w:tcPr>
          <w:p>
            <w:r>
              <w:rPr>
                <w:b/>
              </w:rPr>
              <w:t>PROJECT SCREENSHOTS</w:t>
            </w:r>
          </w:p>
        </w:tc>
        <w:tc>
          <w:tcPr>
            <w:tcW w:type="dxa" w:w="3106"/>
          </w:tcPr>
          <w:p>
            <w:pPr>
              <w:jc w:val="right"/>
            </w:pPr>
            <w:r>
              <w:t>47</w:t>
            </w:r>
          </w:p>
        </w:tc>
      </w:tr>
      <w:tr>
        <w:tc>
          <w:tcPr>
            <w:tcW w:type="dxa" w:w="3106"/>
          </w:tcPr>
          <w:p>
            <w:r>
              <w:t>7.1</w:t>
            </w:r>
          </w:p>
        </w:tc>
        <w:tc>
          <w:tcPr>
            <w:tcW w:type="dxa" w:w="3106"/>
          </w:tcPr>
          <w:p>
            <w:r>
              <w:t>Verified Agricultural Field Verification (Kanchipuram Paddy)</w:t>
            </w:r>
          </w:p>
        </w:tc>
        <w:tc>
          <w:tcPr>
            <w:tcW w:type="dxa" w:w="3106"/>
          </w:tcPr>
          <w:p>
            <w:pPr>
              <w:jc w:val="right"/>
            </w:pPr>
            <w:r>
              <w:t>47</w:t>
            </w:r>
          </w:p>
        </w:tc>
      </w:tr>
      <w:tr>
        <w:tc>
          <w:tcPr>
            <w:tcW w:type="dxa" w:w="3106"/>
          </w:tcPr>
          <w:p>
            <w:r>
              <w:t>7.2</w:t>
            </w:r>
          </w:p>
        </w:tc>
        <w:tc>
          <w:tcPr>
            <w:tcW w:type="dxa" w:w="3106"/>
          </w:tcPr>
          <w:p>
            <w:r>
              <w:t>Residential House Land Detection (Chennai T. Nagar)</w:t>
            </w:r>
          </w:p>
        </w:tc>
        <w:tc>
          <w:tcPr>
            <w:tcW w:type="dxa" w:w="3106"/>
          </w:tcPr>
          <w:p>
            <w:pPr>
              <w:jc w:val="right"/>
            </w:pPr>
            <w:r>
              <w:t>48</w:t>
            </w:r>
          </w:p>
        </w:tc>
      </w:tr>
      <w:tr>
        <w:tc>
          <w:tcPr>
            <w:tcW w:type="dxa" w:w="3106"/>
          </w:tcPr>
          <w:p>
            <w:r>
              <w:t>7.3</w:t>
            </w:r>
          </w:p>
        </w:tc>
        <w:tc>
          <w:tcPr>
            <w:tcW w:type="dxa" w:w="3106"/>
          </w:tcPr>
          <w:p>
            <w:r>
              <w:t>Today's Field Action Plan with Plain-Language Notes &amp; Data</w:t>
            </w:r>
          </w:p>
        </w:tc>
        <w:tc>
          <w:tcPr>
            <w:tcW w:type="dxa" w:w="3106"/>
          </w:tcPr>
          <w:p>
            <w:pPr>
              <w:jc w:val="right"/>
            </w:pPr>
            <w:r>
              <w:t>49</w:t>
            </w:r>
          </w:p>
        </w:tc>
      </w:tr>
      <w:tr>
        <w:tc>
          <w:tcPr>
            <w:tcW w:type="dxa" w:w="3106"/>
          </w:tcPr>
          <w:p>
            <w:r>
              <w:t>7.4</w:t>
            </w:r>
          </w:p>
        </w:tc>
        <w:tc>
          <w:tcPr>
            <w:tcW w:type="dxa" w:w="3106"/>
          </w:tcPr>
          <w:p>
            <w:r>
              <w:t>7-Day Weather Forecast &amp; Custom Coordinate Analyzer</w:t>
            </w:r>
          </w:p>
        </w:tc>
        <w:tc>
          <w:tcPr>
            <w:tcW w:type="dxa" w:w="3106"/>
          </w:tcPr>
          <w:p>
            <w:pPr>
              <w:jc w:val="right"/>
            </w:pPr>
            <w:r>
              <w:t>50</w:t>
            </w:r>
          </w:p>
        </w:tc>
      </w:tr>
      <w:tr>
        <w:tc>
          <w:tcPr>
            <w:tcW w:type="dxa" w:w="3106"/>
          </w:tcPr>
          <w:p>
            <w:r>
              <w:rPr>
                <w:b/>
              </w:rPr>
              <w:t>REFERENCES</w:t>
            </w:r>
          </w:p>
        </w:tc>
        <w:tc>
          <w:tcPr>
            <w:tcW w:type="dxa" w:w="3106"/>
          </w:tcPr>
          <w:p>
            <w:r>
              <w:t>BIBLIOGRAPHY &amp; OFFICIAL DOCUMENTATION</w:t>
            </w:r>
          </w:p>
        </w:tc>
        <w:tc>
          <w:tcPr>
            <w:tcW w:type="dxa" w:w="3106"/>
          </w:tcPr>
          <w:p>
            <w:pPr>
              <w:jc w:val="right"/>
            </w:pPr>
            <w:r>
              <w:t>51</w:t>
            </w:r>
          </w:p>
        </w:tc>
      </w:tr>
    </w:tbl>
    <w:p>
      <w:r>
        <w:br w:type="page"/>
      </w:r>
    </w:p>
    <w:p>
      <w:pPr>
        <w:spacing w:before="240" w:after="80"/>
        <w:jc w:val="center"/>
      </w:pPr>
      <w:r>
        <w:rPr>
          <w:rFonts w:ascii="Times New Roman" w:hAnsi="Times New Roman"/>
          <w:b/>
          <w:sz w:val="32"/>
        </w:rPr>
        <w:t>CHAPTER 1</w:t>
      </w:r>
    </w:p>
    <w:p>
      <w:pPr>
        <w:spacing w:after="320"/>
        <w:jc w:val="center"/>
      </w:pPr>
      <w:r>
        <w:rPr>
          <w:rFonts w:ascii="Times New Roman" w:hAnsi="Times New Roman"/>
          <w:b/>
          <w:sz w:val="28"/>
        </w:rPr>
        <w:t>INTRODUCTION</w:t>
      </w:r>
    </w:p>
    <w:p>
      <w:pPr>
        <w:spacing w:before="240" w:after="80"/>
        <w:jc w:val="left"/>
      </w:pPr>
      <w:r>
        <w:rPr>
          <w:rFonts w:ascii="Times New Roman" w:hAnsi="Times New Roman"/>
          <w:b/>
          <w:sz w:val="26"/>
        </w:rPr>
        <w:t>1.1 Overview &amp; Global Context of Digital Agriculture</w:t>
      </w:r>
    </w:p>
    <w:p>
      <w:pPr>
        <w:spacing w:after="120" w:line="324" w:lineRule="auto"/>
        <w:jc w:val="both"/>
      </w:pPr>
      <w:r>
        <w:rPr>
          <w:rFonts w:ascii="Times New Roman" w:hAnsi="Times New Roman"/>
          <w:b w:val="0"/>
          <w:i w:val="0"/>
          <w:sz w:val="24"/>
        </w:rPr>
        <w:t>Agriculture represents the foundation of economic livelihoods, food security, and rural stability worldwide. In India, agriculture engages over 45% of the national workforce and contributes significantly to Gross Domestic Product (GDP). However, farming systems in tropical and sub-tropical zones face intensifying operational challenges characterized by extreme climatic fluctuations, unseasonal precipitation events, rising temperature anomalies, depleting groundwater tables, and soil degradation.</w:t>
      </w:r>
    </w:p>
    <w:p>
      <w:pPr>
        <w:spacing w:after="120" w:line="324" w:lineRule="auto"/>
        <w:jc w:val="both"/>
      </w:pPr>
      <w:r>
        <w:rPr>
          <w:rFonts w:ascii="Times New Roman" w:hAnsi="Times New Roman"/>
          <w:b w:val="0"/>
          <w:i w:val="0"/>
          <w:sz w:val="24"/>
        </w:rPr>
        <w:t>Historically, agricultural decision-making relied upon empirical generational wisdom and broad regional forecasts broadcasted over radio or public television. In the modern era of climate volatility, traditional almanacs and district-level weather bulletins prove inadequate. A convective storm or heatwave can vary significantly across a distance of five kilometers. Consequently, precision agriculture—the science of utilizing geospatial sensors, meteorological telemetry, satellite remote sensing, and localized decision-support algorithms—has emerged as a vital paradigm to maximize crop yield, conserve irrigation water, minimize pesticide overuse, and enhance farm resilience.</w:t>
      </w:r>
    </w:p>
    <w:p>
      <w:pPr>
        <w:spacing w:after="120" w:line="324" w:lineRule="auto"/>
        <w:jc w:val="both"/>
      </w:pPr>
      <w:r>
        <w:rPr>
          <w:rFonts w:ascii="Times New Roman" w:hAnsi="Times New Roman"/>
          <w:b w:val="0"/>
          <w:i w:val="0"/>
          <w:sz w:val="24"/>
        </w:rPr>
        <w:t>This project develops an operational, full-stack Precision Agricultural Field Classification and Hyperlocal Advisory System named Agrostrat utilizing the MERN stack. The platform delivers real-time land verification, scientifically validated water balance modeling, and explainable daily action plans to optimize farming productivity.</w:t>
      </w:r>
    </w:p>
    <w:p>
      <w:pPr>
        <w:spacing w:before="240" w:after="80"/>
        <w:jc w:val="left"/>
      </w:pPr>
      <w:r>
        <w:rPr>
          <w:rFonts w:ascii="Times New Roman" w:hAnsi="Times New Roman"/>
          <w:b/>
          <w:sz w:val="26"/>
        </w:rPr>
        <w:t>1.2 Problem Definition &amp; Statement in Precision Agriculture</w:t>
      </w:r>
    </w:p>
    <w:p>
      <w:pPr>
        <w:spacing w:after="120" w:line="324" w:lineRule="auto"/>
        <w:jc w:val="both"/>
      </w:pPr>
      <w:r>
        <w:rPr>
          <w:rFonts w:ascii="Times New Roman" w:hAnsi="Times New Roman"/>
          <w:b/>
          <w:i/>
          <w:sz w:val="24"/>
        </w:rPr>
        <w:t>Core Problem Statement: “Farmers require localized weather forecasts, rainfall predictions, drought warnings, irrigation recommendations, and crop advisories to improve agricultural productivity.”</w:t>
      </w:r>
    </w:p>
    <w:p>
      <w:pPr>
        <w:spacing w:after="120" w:line="324" w:lineRule="auto"/>
        <w:jc w:val="both"/>
      </w:pPr>
      <w:r>
        <w:rPr>
          <w:rFonts w:ascii="Times New Roman" w:hAnsi="Times New Roman"/>
          <w:b w:val="0"/>
          <w:i w:val="0"/>
          <w:sz w:val="24"/>
        </w:rPr>
        <w:t>Despite the proliferation of digital mobile applications, agricultural advisory services remain severely hindered by disconnected data pipelines, coarse geographic resolution, and a fundamental lack of land-surface verification:</w:t>
      </w:r>
    </w:p>
    <w:p>
      <w:pPr>
        <w:pStyle w:val="ListBullet"/>
        <w:spacing w:after="80" w:line="300" w:lineRule="auto"/>
        <w:jc w:val="both"/>
      </w:pPr>
      <w:r>
        <w:rPr>
          <w:rFonts w:ascii="Times New Roman" w:hAnsi="Times New Roman"/>
          <w:b/>
          <w:sz w:val="23"/>
        </w:rPr>
        <w:t xml:space="preserve">• Absence of Land Use Verification: </w:t>
      </w:r>
      <w:r>
        <w:rPr>
          <w:rFonts w:ascii="Times New Roman" w:hAnsi="Times New Roman"/>
          <w:sz w:val="23"/>
        </w:rPr>
        <w:t>Conventional agricultural apps blindly assume that any coordinate submitted by a user represents an active crop field. When a user queries a residential house, concrete roof, or commercial building in an urban center, existing systems erroneously generate fertilizer schedules, ploughing alerts, and flood irrigation guidelines for concrete surfaces.</w:t>
      </w:r>
    </w:p>
    <w:p>
      <w:pPr>
        <w:pStyle w:val="ListBullet"/>
        <w:spacing w:after="80" w:line="300" w:lineRule="auto"/>
        <w:jc w:val="both"/>
      </w:pPr>
      <w:r>
        <w:rPr>
          <w:rFonts w:ascii="Times New Roman" w:hAnsi="Times New Roman"/>
          <w:b/>
          <w:sz w:val="23"/>
        </w:rPr>
        <w:t xml:space="preserve">• Coarse Meteorological Resolution &amp; Lack of Root-Zone Data: </w:t>
      </w:r>
      <w:r>
        <w:rPr>
          <w:rFonts w:ascii="Times New Roman" w:hAnsi="Times New Roman"/>
          <w:sz w:val="23"/>
        </w:rPr>
        <w:t>Weather forecasts are typically broadcast at 25-to-50 km grid intervals. Farmers receive generalized rain probabilities that fail to capture localized thunderstorm cells. Furthermore, surface air temperature alone fails to reveal root-zone soil water deficits (0–7 cm and 7–28 cm layers), which dictate actual crop drought stress.</w:t>
      </w:r>
    </w:p>
    <w:p>
      <w:pPr>
        <w:pStyle w:val="ListBullet"/>
        <w:spacing w:after="80" w:line="300" w:lineRule="auto"/>
        <w:jc w:val="both"/>
      </w:pPr>
      <w:r>
        <w:rPr>
          <w:rFonts w:ascii="Times New Roman" w:hAnsi="Times New Roman"/>
          <w:b/>
          <w:sz w:val="23"/>
        </w:rPr>
        <w:t xml:space="preserve">• Hallucinatory Generative Chatbots: </w:t>
      </w:r>
      <w:r>
        <w:rPr>
          <w:rFonts w:ascii="Times New Roman" w:hAnsi="Times New Roman"/>
          <w:sz w:val="23"/>
        </w:rPr>
        <w:t>Recent attempts to integrate black-box Large Language Models into farming apps suffer from unpredictable hallucinations—frequently inventing chemical dosages, mixing incompatible pesticides, or offering vague advice detached from real sensor readings.</w:t>
      </w:r>
    </w:p>
    <w:p>
      <w:pPr>
        <w:pStyle w:val="ListBullet"/>
        <w:spacing w:after="80" w:line="300" w:lineRule="auto"/>
        <w:jc w:val="both"/>
      </w:pPr>
      <w:r>
        <w:rPr>
          <w:rFonts w:ascii="Times New Roman" w:hAnsi="Times New Roman"/>
          <w:b/>
          <w:sz w:val="23"/>
        </w:rPr>
        <w:t xml:space="preserve">• Lack of Explainable Action Directives: </w:t>
      </w:r>
      <w:r>
        <w:rPr>
          <w:rFonts w:ascii="Times New Roman" w:hAnsi="Times New Roman"/>
          <w:sz w:val="23"/>
        </w:rPr>
        <w:t>Agronomic advice often consists of dense academic text without citing the underlying physical measurements that triggered the recommendation, eroding farmer trust.</w:t>
      </w:r>
    </w:p>
    <w:p>
      <w:pPr>
        <w:spacing w:before="240" w:after="80"/>
        <w:jc w:val="left"/>
      </w:pPr>
      <w:r>
        <w:rPr>
          <w:rFonts w:ascii="Times New Roman" w:hAnsi="Times New Roman"/>
          <w:b/>
          <w:sz w:val="26"/>
        </w:rPr>
        <w:t>1.3 Project Objectives</w:t>
      </w:r>
    </w:p>
    <w:p>
      <w:pPr>
        <w:pStyle w:val="ListBullet"/>
        <w:spacing w:after="80" w:line="300" w:lineRule="auto"/>
        <w:jc w:val="both"/>
      </w:pPr>
      <w:r>
        <w:rPr>
          <w:rFonts w:ascii="Times New Roman" w:hAnsi="Times New Roman"/>
          <w:b/>
          <w:sz w:val="23"/>
        </w:rPr>
        <w:t xml:space="preserve">1. Full-Stack MERN Architecture: </w:t>
      </w:r>
      <w:r>
        <w:rPr>
          <w:rFonts w:ascii="Times New Roman" w:hAnsi="Times New Roman"/>
          <w:sz w:val="23"/>
        </w:rPr>
        <w:t>Implement a responsive Single Page Application (SPA) using React.js 18 and Vite, coupled to a modular RESTful backend using Node.js and Express.js, backed by MongoDB Atlas.</w:t>
      </w:r>
    </w:p>
    <w:p>
      <w:pPr>
        <w:pStyle w:val="ListBullet"/>
        <w:spacing w:after="80" w:line="300" w:lineRule="auto"/>
        <w:jc w:val="both"/>
      </w:pPr>
      <w:r>
        <w:rPr>
          <w:rFonts w:ascii="Times New Roman" w:hAnsi="Times New Roman"/>
          <w:b/>
          <w:sz w:val="23"/>
        </w:rPr>
        <w:t xml:space="preserve">2. Automated Field vs. Residential Classification: </w:t>
      </w:r>
      <w:r>
        <w:rPr>
          <w:rFonts w:ascii="Times New Roman" w:hAnsi="Times New Roman"/>
          <w:sz w:val="23"/>
        </w:rPr>
        <w:t>Develop a multi-layered geospatial classifier combining OpenStreetMap (OSM) Overpass geometric querying, Sentinel-2 multispectral remote sensing indices (NDVI, NDMI, NDBI), and Chennai urban masks.</w:t>
      </w:r>
    </w:p>
    <w:p>
      <w:pPr>
        <w:pStyle w:val="ListBullet"/>
        <w:spacing w:after="80" w:line="300" w:lineRule="auto"/>
        <w:jc w:val="both"/>
      </w:pPr>
      <w:r>
        <w:rPr>
          <w:rFonts w:ascii="Times New Roman" w:hAnsi="Times New Roman"/>
          <w:b/>
          <w:sz w:val="23"/>
        </w:rPr>
        <w:t xml:space="preserve">3. Hyperlocal Telemetry Ingestion: </w:t>
      </w:r>
      <w:r>
        <w:rPr>
          <w:rFonts w:ascii="Times New Roman" w:hAnsi="Times New Roman"/>
          <w:sz w:val="23"/>
        </w:rPr>
        <w:t>Ingest real-time parameters including volumetric soil moisture across multiple strata (0–7 cm and 7–28 cm), soil temperature, air temperature, relative humidity, wind speed, and precipitation.</w:t>
      </w:r>
    </w:p>
    <w:p>
      <w:pPr>
        <w:pStyle w:val="ListBullet"/>
        <w:spacing w:after="80" w:line="300" w:lineRule="auto"/>
        <w:jc w:val="both"/>
      </w:pPr>
      <w:r>
        <w:rPr>
          <w:rFonts w:ascii="Times New Roman" w:hAnsi="Times New Roman"/>
          <w:b/>
          <w:sz w:val="23"/>
        </w:rPr>
        <w:t xml:space="preserve">4. Scientific Agronomic Engine (AgroEngine): </w:t>
      </w:r>
      <w:r>
        <w:rPr>
          <w:rFonts w:ascii="Times New Roman" w:hAnsi="Times New Roman"/>
          <w:sz w:val="23"/>
        </w:rPr>
        <w:t>Construct a deterministic calculation engine executing FAO-56 Penman-Monteith daily reference evapotranspiration (ET0) and fungal disease risk modeling.</w:t>
      </w:r>
    </w:p>
    <w:p>
      <w:pPr>
        <w:pStyle w:val="ListBullet"/>
        <w:spacing w:after="80" w:line="300" w:lineRule="auto"/>
        <w:jc w:val="both"/>
      </w:pPr>
      <w:r>
        <w:rPr>
          <w:rFonts w:ascii="Times New Roman" w:hAnsi="Times New Roman"/>
          <w:b/>
          <w:sz w:val="23"/>
        </w:rPr>
        <w:t xml:space="preserve">5. Explainable Today's Field Action Plan: </w:t>
      </w:r>
      <w:r>
        <w:rPr>
          <w:rFonts w:ascii="Times New Roman" w:hAnsi="Times New Roman"/>
          <w:sz w:val="23"/>
        </w:rPr>
        <w:t>Synthesize complex telemetry into three core operational directives—Irrigation Advice, Plant Protection, and Field Bund Work—featuring transparent Note citations.</w:t>
      </w:r>
    </w:p>
    <w:p>
      <w:r>
        <w:br w:type="page"/>
      </w:r>
    </w:p>
    <w:p>
      <w:pPr>
        <w:spacing w:before="240" w:after="80"/>
        <w:jc w:val="center"/>
      </w:pPr>
      <w:r>
        <w:rPr>
          <w:rFonts w:ascii="Times New Roman" w:hAnsi="Times New Roman"/>
          <w:b/>
          <w:sz w:val="32"/>
        </w:rPr>
        <w:t>CHAPTER 4</w:t>
      </w:r>
    </w:p>
    <w:p>
      <w:pPr>
        <w:spacing w:after="320"/>
        <w:jc w:val="center"/>
      </w:pPr>
      <w:r>
        <w:rPr>
          <w:rFonts w:ascii="Times New Roman" w:hAnsi="Times New Roman"/>
          <w:b/>
          <w:sz w:val="28"/>
        </w:rPr>
        <w:t>SYSTEM DESIGN</w:t>
      </w:r>
    </w:p>
    <w:p>
      <w:pPr>
        <w:spacing w:before="240" w:after="80"/>
        <w:jc w:val="left"/>
      </w:pPr>
      <w:r>
        <w:rPr>
          <w:rFonts w:ascii="Times New Roman" w:hAnsi="Times New Roman"/>
          <w:b/>
          <w:sz w:val="26"/>
        </w:rPr>
        <w:t>4.1 System Architecture Design</w:t>
      </w:r>
    </w:p>
    <w:p>
      <w:pPr>
        <w:spacing w:after="120" w:line="324" w:lineRule="auto"/>
        <w:jc w:val="both"/>
      </w:pPr>
      <w:r>
        <w:rPr>
          <w:rFonts w:ascii="Times New Roman" w:hAnsi="Times New Roman"/>
          <w:b w:val="0"/>
          <w:i w:val="0"/>
          <w:sz w:val="24"/>
        </w:rPr>
        <w:t>The system architecture employs a decoupled, multi-tier web architecture cleanly separating presentation, stateless application business logic, dedicated domain calculation services, and document persistence:</w:t>
      </w:r>
    </w:p>
    <w:p>
      <w:pPr>
        <w:spacing w:before="160" w:after="8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fig4_1_architecture.png"/>
                    <pic:cNvPicPr/>
                  </pic:nvPicPr>
                  <pic:blipFill>
                    <a:blip r:embed="rId11"/>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b/>
          <w:i/>
          <w:sz w:val="21"/>
        </w:rPr>
        <w:t>Figure 4.1: Multi-Tier System Architecture of Agrostrat (Napkin AI Style)</w:t>
      </w:r>
    </w:p>
    <w:p>
      <w:pPr>
        <w:spacing w:before="240" w:after="80"/>
        <w:jc w:val="left"/>
      </w:pPr>
      <w:r>
        <w:rPr>
          <w:rFonts w:ascii="Times New Roman" w:hAnsi="Times New Roman"/>
          <w:b/>
          <w:sz w:val="26"/>
        </w:rPr>
        <w:t>4.2 Detailed Module Descriptions</w:t>
      </w:r>
    </w:p>
    <w:p>
      <w:pPr>
        <w:pStyle w:val="ListBullet"/>
        <w:spacing w:after="80" w:line="300" w:lineRule="auto"/>
        <w:jc w:val="both"/>
      </w:pPr>
      <w:r>
        <w:rPr>
          <w:rFonts w:ascii="Times New Roman" w:hAnsi="Times New Roman"/>
          <w:b/>
          <w:sz w:val="23"/>
        </w:rPr>
        <w:t xml:space="preserve">• Module 1 — Land Classification Engine: </w:t>
      </w:r>
      <w:r>
        <w:rPr>
          <w:rFonts w:ascii="Times New Roman" w:hAnsi="Times New Roman"/>
          <w:sz w:val="23"/>
        </w:rPr>
        <w:t>Evaluates coordinates against Sentinel-2 multispectral indices (NDVI, NDMI, NDBI) and OpenStreetMap Overpass polygons.</w:t>
      </w:r>
    </w:p>
    <w:p>
      <w:pPr>
        <w:pStyle w:val="ListBullet"/>
        <w:spacing w:after="80" w:line="300" w:lineRule="auto"/>
        <w:jc w:val="both"/>
      </w:pPr>
      <w:r>
        <w:rPr>
          <w:rFonts w:ascii="Times New Roman" w:hAnsi="Times New Roman"/>
          <w:b/>
          <w:sz w:val="23"/>
        </w:rPr>
        <w:t xml:space="preserve">• Module 2 — Chennai Urban Boundary Mask: </w:t>
      </w:r>
      <w:r>
        <w:rPr>
          <w:rFonts w:ascii="Times New Roman" w:hAnsi="Times New Roman"/>
          <w:sz w:val="23"/>
        </w:rPr>
        <w:t>A specialized sub-kilometer geospatial module containing verified polygon bounds for urban Chennai neighborhoods.</w:t>
      </w:r>
    </w:p>
    <w:p>
      <w:pPr>
        <w:pStyle w:val="ListBullet"/>
        <w:spacing w:after="80" w:line="300" w:lineRule="auto"/>
        <w:jc w:val="both"/>
      </w:pPr>
      <w:r>
        <w:rPr>
          <w:rFonts w:ascii="Times New Roman" w:hAnsi="Times New Roman"/>
          <w:b/>
          <w:sz w:val="23"/>
        </w:rPr>
        <w:t xml:space="preserve">• Module 3 — Soil &amp; Weather Gateway: </w:t>
      </w:r>
      <w:r>
        <w:rPr>
          <w:rFonts w:ascii="Times New Roman" w:hAnsi="Times New Roman"/>
          <w:sz w:val="23"/>
        </w:rPr>
        <w:t>An asynchronous gateway interfacing with Open-Meteo reanalysis APIs to fetch multi-depth soil moisture and meteorological telemetry.</w:t>
      </w:r>
    </w:p>
    <w:p>
      <w:pPr>
        <w:pStyle w:val="ListBullet"/>
        <w:spacing w:after="80" w:line="300" w:lineRule="auto"/>
        <w:jc w:val="both"/>
      </w:pPr>
      <w:r>
        <w:rPr>
          <w:rFonts w:ascii="Times New Roman" w:hAnsi="Times New Roman"/>
          <w:b/>
          <w:sz w:val="23"/>
        </w:rPr>
        <w:t xml:space="preserve">• Module 4 — AgroEngine (Water Balance &amp; Disease): </w:t>
      </w:r>
      <w:r>
        <w:rPr>
          <w:rFonts w:ascii="Times New Roman" w:hAnsi="Times New Roman"/>
          <w:sz w:val="23"/>
        </w:rPr>
        <w:t>Computes daily reference evapotranspiration via FAO-56 Penman-Monteith and evaluates fungal pathogen incubation.</w:t>
      </w:r>
    </w:p>
    <w:p>
      <w:pPr>
        <w:pStyle w:val="ListBullet"/>
        <w:spacing w:after="80" w:line="300" w:lineRule="auto"/>
        <w:jc w:val="both"/>
      </w:pPr>
      <w:r>
        <w:rPr>
          <w:rFonts w:ascii="Times New Roman" w:hAnsi="Times New Roman"/>
          <w:b/>
          <w:sz w:val="23"/>
        </w:rPr>
        <w:t xml:space="preserve">• Module 5 — Action Card Dispatcher: </w:t>
      </w:r>
      <w:r>
        <w:rPr>
          <w:rFonts w:ascii="Times New Roman" w:hAnsi="Times New Roman"/>
          <w:sz w:val="23"/>
        </w:rPr>
        <w:t>Produces three actionable directives accompanied by an explainable Note citing exact physical telemetry values.</w:t>
      </w:r>
    </w:p>
    <w:p>
      <w:pPr>
        <w:spacing w:before="240" w:after="80"/>
        <w:jc w:val="left"/>
      </w:pPr>
      <w:r>
        <w:rPr>
          <w:rFonts w:ascii="Times New Roman" w:hAnsi="Times New Roman"/>
          <w:b/>
          <w:sz w:val="26"/>
        </w:rPr>
        <w:t>4.3 Use-Case Diagram &amp; Interaction Analysis</w:t>
      </w:r>
    </w:p>
    <w:p>
      <w:pPr>
        <w:spacing w:before="160" w:after="80"/>
        <w:jc w:val="center"/>
      </w:pPr>
      <w:r>
        <w:drawing>
          <wp:inline xmlns:a="http://schemas.openxmlformats.org/drawingml/2006/main" xmlns:pic="http://schemas.openxmlformats.org/drawingml/2006/picture">
            <wp:extent cx="5303520" cy="2495774"/>
            <wp:docPr id="5" name="Picture 5"/>
            <wp:cNvGraphicFramePr>
              <a:graphicFrameLocks noChangeAspect="1"/>
            </wp:cNvGraphicFramePr>
            <a:graphic>
              <a:graphicData uri="http://schemas.openxmlformats.org/drawingml/2006/picture">
                <pic:pic>
                  <pic:nvPicPr>
                    <pic:cNvPr id="0" name="fig4_2_usecase.png"/>
                    <pic:cNvPicPr/>
                  </pic:nvPicPr>
                  <pic:blipFill>
                    <a:blip r:embed="rId12"/>
                    <a:stretch>
                      <a:fillRect/>
                    </a:stretch>
                  </pic:blipFill>
                  <pic:spPr>
                    <a:xfrm>
                      <a:off x="0" y="0"/>
                      <a:ext cx="5303520" cy="2495774"/>
                    </a:xfrm>
                    <a:prstGeom prst="rect"/>
                  </pic:spPr>
                </pic:pic>
              </a:graphicData>
            </a:graphic>
          </wp:inline>
        </w:drawing>
      </w:r>
    </w:p>
    <w:p>
      <w:pPr>
        <w:spacing w:after="240"/>
        <w:jc w:val="center"/>
      </w:pPr>
      <w:r>
        <w:rPr>
          <w:rFonts w:ascii="Times New Roman" w:hAnsi="Times New Roman"/>
          <w:b/>
          <w:i/>
          <w:sz w:val="21"/>
        </w:rPr>
        <w:t>Figure 4.2: Use-Case Diagram of Agrostrat Platform (Napkin AI Style)</w:t>
      </w:r>
    </w:p>
    <w:p>
      <w:pPr>
        <w:spacing w:before="240" w:after="80"/>
        <w:jc w:val="left"/>
      </w:pPr>
      <w:r>
        <w:rPr>
          <w:rFonts w:ascii="Times New Roman" w:hAnsi="Times New Roman"/>
          <w:b/>
          <w:sz w:val="26"/>
        </w:rPr>
        <w:t>4.4 Entity-Relationship (ER) Diagram &amp; Data Model</w:t>
      </w:r>
    </w:p>
    <w:p>
      <w:pPr>
        <w:spacing w:before="160" w:after="80"/>
        <w:jc w:val="center"/>
      </w:pPr>
      <w:r>
        <w:drawing>
          <wp:inline xmlns:a="http://schemas.openxmlformats.org/drawingml/2006/main" xmlns:pic="http://schemas.openxmlformats.org/drawingml/2006/picture">
            <wp:extent cx="5303520" cy="2911736"/>
            <wp:docPr id="6" name="Picture 6"/>
            <wp:cNvGraphicFramePr>
              <a:graphicFrameLocks noChangeAspect="1"/>
            </wp:cNvGraphicFramePr>
            <a:graphic>
              <a:graphicData uri="http://schemas.openxmlformats.org/drawingml/2006/picture">
                <pic:pic>
                  <pic:nvPicPr>
                    <pic:cNvPr id="0" name="fig4_3_er_diagram.png"/>
                    <pic:cNvPicPr/>
                  </pic:nvPicPr>
                  <pic:blipFill>
                    <a:blip r:embed="rId13"/>
                    <a:stretch>
                      <a:fillRect/>
                    </a:stretch>
                  </pic:blipFill>
                  <pic:spPr>
                    <a:xfrm>
                      <a:off x="0" y="0"/>
                      <a:ext cx="5303520" cy="2911736"/>
                    </a:xfrm>
                    <a:prstGeom prst="rect"/>
                  </pic:spPr>
                </pic:pic>
              </a:graphicData>
            </a:graphic>
          </wp:inline>
        </w:drawing>
      </w:r>
    </w:p>
    <w:p>
      <w:pPr>
        <w:spacing w:after="240"/>
        <w:jc w:val="center"/>
      </w:pPr>
      <w:r>
        <w:rPr>
          <w:rFonts w:ascii="Times New Roman" w:hAnsi="Times New Roman"/>
          <w:b/>
          <w:i/>
          <w:sz w:val="21"/>
        </w:rPr>
        <w:t>Figure 4.3: Entity-Relationship (ER) Diagram &amp; Schema (Napkin AI Style)</w:t>
      </w:r>
    </w:p>
    <w:p>
      <w:pPr>
        <w:spacing w:before="240" w:after="80"/>
        <w:jc w:val="left"/>
      </w:pPr>
      <w:r>
        <w:rPr>
          <w:rFonts w:ascii="Times New Roman" w:hAnsi="Times New Roman"/>
          <w:b/>
          <w:sz w:val="26"/>
        </w:rPr>
        <w:t>4.5 Component &amp; Class Architecture Diagram</w:t>
      </w:r>
    </w:p>
    <w:p>
      <w:pPr>
        <w:spacing w:before="160" w:after="80"/>
        <w:jc w:val="center"/>
      </w:pPr>
      <w:r>
        <w:drawing>
          <wp:inline xmlns:a="http://schemas.openxmlformats.org/drawingml/2006/main" xmlns:pic="http://schemas.openxmlformats.org/drawingml/2006/picture">
            <wp:extent cx="5303520" cy="2807746"/>
            <wp:docPr id="7" name="Picture 7"/>
            <wp:cNvGraphicFramePr>
              <a:graphicFrameLocks noChangeAspect="1"/>
            </wp:cNvGraphicFramePr>
            <a:graphic>
              <a:graphicData uri="http://schemas.openxmlformats.org/drawingml/2006/picture">
                <pic:pic>
                  <pic:nvPicPr>
                    <pic:cNvPr id="0" name="fig4_4_component_diagram.png"/>
                    <pic:cNvPicPr/>
                  </pic:nvPicPr>
                  <pic:blipFill>
                    <a:blip r:embed="rId14"/>
                    <a:stretch>
                      <a:fillRect/>
                    </a:stretch>
                  </pic:blipFill>
                  <pic:spPr>
                    <a:xfrm>
                      <a:off x="0" y="0"/>
                      <a:ext cx="5303520" cy="2807746"/>
                    </a:xfrm>
                    <a:prstGeom prst="rect"/>
                  </pic:spPr>
                </pic:pic>
              </a:graphicData>
            </a:graphic>
          </wp:inline>
        </w:drawing>
      </w:r>
    </w:p>
    <w:p>
      <w:pPr>
        <w:spacing w:after="240"/>
        <w:jc w:val="center"/>
      </w:pPr>
      <w:r>
        <w:rPr>
          <w:rFonts w:ascii="Times New Roman" w:hAnsi="Times New Roman"/>
          <w:b/>
          <w:i/>
          <w:sz w:val="21"/>
        </w:rPr>
        <w:t>Figure 4.4: Software Component Architecture &amp; Relationships (Napkin AI Style)</w:t>
      </w:r>
    </w:p>
    <w:p>
      <w:pPr>
        <w:spacing w:before="240" w:after="80"/>
        <w:jc w:val="left"/>
      </w:pPr>
      <w:r>
        <w:rPr>
          <w:rFonts w:ascii="Times New Roman" w:hAnsi="Times New Roman"/>
          <w:b/>
          <w:sz w:val="26"/>
        </w:rPr>
        <w:t>4.6 Sequence Diagram: Coordinate Ingestion &amp; Decision Flow</w:t>
      </w:r>
    </w:p>
    <w:p>
      <w:pPr>
        <w:spacing w:before="160" w:after="80"/>
        <w:jc w:val="center"/>
      </w:pPr>
      <w:r>
        <w:drawing>
          <wp:inline xmlns:a="http://schemas.openxmlformats.org/drawingml/2006/main" xmlns:pic="http://schemas.openxmlformats.org/drawingml/2006/picture">
            <wp:extent cx="5303520" cy="3223708"/>
            <wp:docPr id="8" name="Picture 8"/>
            <wp:cNvGraphicFramePr>
              <a:graphicFrameLocks noChangeAspect="1"/>
            </wp:cNvGraphicFramePr>
            <a:graphic>
              <a:graphicData uri="http://schemas.openxmlformats.org/drawingml/2006/picture">
                <pic:pic>
                  <pic:nvPicPr>
                    <pic:cNvPr id="0" name="fig4_5_sequence_diagram.png"/>
                    <pic:cNvPicPr/>
                  </pic:nvPicPr>
                  <pic:blipFill>
                    <a:blip r:embed="rId15"/>
                    <a:stretch>
                      <a:fillRect/>
                    </a:stretch>
                  </pic:blipFill>
                  <pic:spPr>
                    <a:xfrm>
                      <a:off x="0" y="0"/>
                      <a:ext cx="5303520" cy="3223708"/>
                    </a:xfrm>
                    <a:prstGeom prst="rect"/>
                  </pic:spPr>
                </pic:pic>
              </a:graphicData>
            </a:graphic>
          </wp:inline>
        </w:drawing>
      </w:r>
    </w:p>
    <w:p>
      <w:pPr>
        <w:spacing w:after="240"/>
        <w:jc w:val="center"/>
      </w:pPr>
      <w:r>
        <w:rPr>
          <w:rFonts w:ascii="Times New Roman" w:hAnsi="Times New Roman"/>
          <w:b/>
          <w:i/>
          <w:sz w:val="21"/>
        </w:rPr>
        <w:t>Figure 4.5: Sequence Diagram of Coordinate Ingestion &amp; Decision Flow (Napkin AI Style)</w:t>
      </w:r>
    </w:p>
    <w:p>
      <w:r>
        <w:br w:type="page"/>
      </w:r>
    </w:p>
    <w:p>
      <w:pPr>
        <w:spacing w:before="240" w:after="80"/>
        <w:jc w:val="center"/>
      </w:pPr>
      <w:r>
        <w:rPr>
          <w:rFonts w:ascii="Times New Roman" w:hAnsi="Times New Roman"/>
          <w:b/>
          <w:sz w:val="32"/>
        </w:rPr>
        <w:t>CHAPTER 7</w:t>
      </w:r>
    </w:p>
    <w:p>
      <w:pPr>
        <w:spacing w:after="320"/>
        <w:jc w:val="center"/>
      </w:pPr>
      <w:r>
        <w:rPr>
          <w:rFonts w:ascii="Times New Roman" w:hAnsi="Times New Roman"/>
          <w:b/>
          <w:sz w:val="28"/>
        </w:rPr>
        <w:t>PROJECT SCREENSHOTS</w:t>
      </w:r>
    </w:p>
    <w:p>
      <w:pPr>
        <w:spacing w:before="240" w:after="80"/>
        <w:jc w:val="left"/>
      </w:pPr>
      <w:r>
        <w:rPr>
          <w:rFonts w:ascii="Times New Roman" w:hAnsi="Times New Roman"/>
          <w:b/>
          <w:sz w:val="26"/>
        </w:rPr>
        <w:t>7.1 Verified Agricultural Field Verification (Kanchipuram Paddy)</w:t>
      </w:r>
    </w:p>
    <w:p>
      <w:pPr>
        <w:spacing w:after="120" w:line="324" w:lineRule="auto"/>
        <w:jc w:val="both"/>
      </w:pPr>
      <w:r>
        <w:rPr>
          <w:rFonts w:ascii="Times New Roman" w:hAnsi="Times New Roman"/>
          <w:b w:val="0"/>
          <w:i w:val="0"/>
          <w:sz w:val="24"/>
        </w:rPr>
        <w:t>Figure 7.1 illustrates the Land Verification Checker evaluating verified agricultural crop field coordinates in Kanchipuram, Tamil Nadu. The system correctly identifies the parcel as an Active Agricultural Crop Field with 96% confidence, rendering a prominent green verification card, telemetry diagnosis, and live physical sensor readings.</w:t>
      </w:r>
    </w:p>
    <w:p>
      <w:pPr>
        <w:spacing w:before="160" w:after="80"/>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fig7_1_field_verification.png"/>
                    <pic:cNvPicPr/>
                  </pic:nvPicPr>
                  <pic:blipFill>
                    <a:blip r:embed="rId16"/>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b/>
          <w:i/>
          <w:sz w:val="21"/>
        </w:rPr>
        <w:t>Figure 7.1: Land Verification Engine Validating Active Paddy Crop Land in Kanchipuram with Live Telemetry</w:t>
      </w:r>
    </w:p>
    <w:p>
      <w:pPr>
        <w:spacing w:before="240" w:after="80"/>
        <w:jc w:val="left"/>
      </w:pPr>
      <w:r>
        <w:rPr>
          <w:rFonts w:ascii="Times New Roman" w:hAnsi="Times New Roman"/>
          <w:b/>
          <w:sz w:val="26"/>
        </w:rPr>
        <w:t>7.2 Residential House Land Detection (Chennai T. Nagar)</w:t>
      </w:r>
    </w:p>
    <w:p>
      <w:pPr>
        <w:spacing w:after="120" w:line="324" w:lineRule="auto"/>
        <w:jc w:val="both"/>
      </w:pPr>
      <w:r>
        <w:rPr>
          <w:rFonts w:ascii="Times New Roman" w:hAnsi="Times New Roman"/>
          <w:b w:val="0"/>
          <w:i w:val="0"/>
          <w:sz w:val="24"/>
        </w:rPr>
        <w:t>Figure 7.2 presents the land verification interface evaluating coordinates inside an urban residential neighborhood (T. Nagar, Chennai). The engine triggers the Chennai Urban Mask, correctly classifying the terrain as a Residential House / Concrete Terrain with 97% confidence and suppressing crop farming advisories.</w:t>
      </w:r>
    </w:p>
    <w:p>
      <w:pPr>
        <w:spacing w:before="160" w:after="80"/>
        <w:jc w:val="center"/>
      </w:pPr>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fig7_2_residential_verification.png"/>
                    <pic:cNvPicPr/>
                  </pic:nvPicPr>
                  <pic:blipFill>
                    <a:blip r:embed="rId17"/>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b/>
          <w:i/>
          <w:sz w:val="21"/>
        </w:rPr>
        <w:t>Figure 7.2: Land Verification Engine Detecting Residential House Terrain in T. Nagar, Chennai</w:t>
      </w:r>
    </w:p>
    <w:p>
      <w:pPr>
        <w:spacing w:before="240" w:after="80"/>
        <w:jc w:val="left"/>
      </w:pPr>
      <w:r>
        <w:rPr>
          <w:rFonts w:ascii="Times New Roman" w:hAnsi="Times New Roman"/>
          <w:b/>
          <w:sz w:val="26"/>
        </w:rPr>
        <w:t>7.3 Today's Field Action Plan with Plain-Language Notes &amp; Data</w:t>
      </w:r>
    </w:p>
    <w:p>
      <w:pPr>
        <w:spacing w:after="120" w:line="324" w:lineRule="auto"/>
        <w:jc w:val="both"/>
      </w:pPr>
      <w:r>
        <w:rPr>
          <w:rFonts w:ascii="Times New Roman" w:hAnsi="Times New Roman"/>
          <w:b w:val="0"/>
          <w:i w:val="0"/>
          <w:sz w:val="24"/>
        </w:rPr>
        <w:t>Figure 7.3 illustrates Today's Field Action Plan (Tab 2). It features the 3 core action cards—Irrigation Advice (Watering), Plant Protection (Pests), and Field Bund Work. Each card displays an actionable directive accompanied by a clean Note section citing the responsible measured numbers (Soil Moisture, Rain, Evaporation, Humidity, Temperature).</w:t>
      </w:r>
    </w:p>
    <w:p>
      <w:pPr>
        <w:spacing w:before="160" w:after="80"/>
        <w:jc w:val="center"/>
      </w:pPr>
      <w:r>
        <w:drawing>
          <wp:inline xmlns:a="http://schemas.openxmlformats.org/drawingml/2006/main" xmlns:pic="http://schemas.openxmlformats.org/drawingml/2006/picture">
            <wp:extent cx="5303520" cy="3535680"/>
            <wp:docPr id="11" name="Picture 11"/>
            <wp:cNvGraphicFramePr>
              <a:graphicFrameLocks noChangeAspect="1"/>
            </wp:cNvGraphicFramePr>
            <a:graphic>
              <a:graphicData uri="http://schemas.openxmlformats.org/drawingml/2006/picture">
                <pic:pic>
                  <pic:nvPicPr>
                    <pic:cNvPr id="0" name="fig7_3_field_action_plan.png"/>
                    <pic:cNvPicPr/>
                  </pic:nvPicPr>
                  <pic:blipFill>
                    <a:blip r:embed="rId18"/>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b/>
          <w:i/>
          <w:sz w:val="21"/>
        </w:rPr>
        <w:t>Figure 7.3: Agrostrat Field Action Plan — 3 Core Action Cards with Plain-Language Notes &amp; Real Measured Telemetry</w:t>
      </w:r>
    </w:p>
    <w:p>
      <w:pPr>
        <w:spacing w:before="240" w:after="80"/>
        <w:jc w:val="left"/>
      </w:pPr>
      <w:r>
        <w:rPr>
          <w:rFonts w:ascii="Times New Roman" w:hAnsi="Times New Roman"/>
          <w:b/>
          <w:sz w:val="26"/>
        </w:rPr>
        <w:t>7.4 7-Day Weather Forecast &amp; Agronomic Operations Calendar</w:t>
      </w:r>
    </w:p>
    <w:p>
      <w:pPr>
        <w:spacing w:after="120" w:line="324" w:lineRule="auto"/>
        <w:jc w:val="both"/>
      </w:pPr>
      <w:r>
        <w:rPr>
          <w:rFonts w:ascii="Times New Roman" w:hAnsi="Times New Roman"/>
          <w:b w:val="0"/>
          <w:i w:val="0"/>
          <w:sz w:val="24"/>
        </w:rPr>
        <w:t>Figure 7.4 illustrates the 7-day weather outlook (Tab 3), featuring Lucide SVG weather condition icons, daily rainfall vs. FAO-56 reference evapotranspiration (ET0) water balance bars, and an operational pesticide spraying window calendar.</w:t>
      </w:r>
    </w:p>
    <w:p>
      <w:pPr>
        <w:spacing w:before="160" w:after="80"/>
        <w:jc w:val="center"/>
      </w:pPr>
      <w:r>
        <w:drawing>
          <wp:inline xmlns:a="http://schemas.openxmlformats.org/drawingml/2006/main" xmlns:pic="http://schemas.openxmlformats.org/drawingml/2006/picture">
            <wp:extent cx="5303520" cy="3535680"/>
            <wp:docPr id="12" name="Picture 12"/>
            <wp:cNvGraphicFramePr>
              <a:graphicFrameLocks noChangeAspect="1"/>
            </wp:cNvGraphicFramePr>
            <a:graphic>
              <a:graphicData uri="http://schemas.openxmlformats.org/drawingml/2006/picture">
                <pic:pic>
                  <pic:nvPicPr>
                    <pic:cNvPr id="0" name="fig7_4_weather_outlook.png"/>
                    <pic:cNvPicPr/>
                  </pic:nvPicPr>
                  <pic:blipFill>
                    <a:blip r:embed="rId19"/>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b/>
          <w:i/>
          <w:sz w:val="21"/>
        </w:rPr>
        <w:t>Figure 7.4: 7-Day Weather Forecast, Evapotranspiration Water Balance &amp; Spraying Window Calendar</w:t>
      </w:r>
    </w:p>
    <w:p>
      <w:pPr>
        <w:spacing w:before="240" w:after="80"/>
        <w:jc w:val="left"/>
      </w:pPr>
      <w:r>
        <w:rPr>
          <w:rFonts w:ascii="Times New Roman" w:hAnsi="Times New Roman"/>
          <w:b/>
          <w:sz w:val="26"/>
        </w:rPr>
        <w:t>7.5 Custom Coordinate Land Analyzer &amp; Live GPS Ingestion</w:t>
      </w:r>
    </w:p>
    <w:p>
      <w:pPr>
        <w:spacing w:after="120" w:line="324" w:lineRule="auto"/>
        <w:jc w:val="both"/>
      </w:pPr>
      <w:r>
        <w:rPr>
          <w:rFonts w:ascii="Times New Roman" w:hAnsi="Times New Roman"/>
          <w:b w:val="0"/>
          <w:i w:val="0"/>
          <w:sz w:val="24"/>
        </w:rPr>
        <w:t>Figure 7.5 illustrates the expandable custom coordinate drawer allowing users to submit arbitrary geographical coordinates or trigger browser GPS location acquisition.</w:t>
      </w:r>
    </w:p>
    <w:p>
      <w:pPr>
        <w:spacing w:before="160" w:after="80"/>
        <w:jc w:val="center"/>
      </w:pPr>
      <w:r>
        <w:drawing>
          <wp:inline xmlns:a="http://schemas.openxmlformats.org/drawingml/2006/main" xmlns:pic="http://schemas.openxmlformats.org/drawingml/2006/picture">
            <wp:extent cx="5303520" cy="3535680"/>
            <wp:docPr id="13" name="Picture 13"/>
            <wp:cNvGraphicFramePr>
              <a:graphicFrameLocks noChangeAspect="1"/>
            </wp:cNvGraphicFramePr>
            <a:graphic>
              <a:graphicData uri="http://schemas.openxmlformats.org/drawingml/2006/picture">
                <pic:pic>
                  <pic:nvPicPr>
                    <pic:cNvPr id="0" name="fig7_5_custom_coordinates.png"/>
                    <pic:cNvPicPr/>
                  </pic:nvPicPr>
                  <pic:blipFill>
                    <a:blip r:embed="rId20"/>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b/>
          <w:i/>
          <w:sz w:val="21"/>
        </w:rPr>
        <w:t>Figure 7.5: Interactive Custom Coordinate Drawer &amp; Crop Selection Interface</w:t>
      </w:r>
    </w:p>
    <w:p>
      <w:r>
        <w:br w:type="page"/>
      </w:r>
    </w:p>
    <w:p>
      <w:pPr>
        <w:spacing w:before="240" w:after="80"/>
        <w:jc w:val="center"/>
      </w:pPr>
      <w:r>
        <w:rPr>
          <w:rFonts w:ascii="Times New Roman" w:hAnsi="Times New Roman"/>
          <w:b/>
          <w:sz w:val="32"/>
        </w:rPr>
        <w:t>REFERENCES</w:t>
      </w:r>
    </w:p>
    <w:p>
      <w:pPr>
        <w:spacing w:after="120" w:line="324" w:lineRule="auto"/>
        <w:jc w:val="both"/>
      </w:pPr>
      <w:r>
        <w:rPr>
          <w:rFonts w:ascii="Times New Roman" w:hAnsi="Times New Roman"/>
          <w:b w:val="0"/>
          <w:i w:val="0"/>
          <w:sz w:val="21"/>
        </w:rPr>
        <w:t>[1] R. G. Allen, L. S. Pereira, D. Raes, and M. Smith, 'Crop Evapotranspiration — Guidelines for Computing Crop Water Requirements,' FAO Irrigation and Drainage Paper 56, Food and Agriculture Organization of the United Nations, Rome, 1998.</w:t>
      </w:r>
    </w:p>
    <w:p>
      <w:pPr>
        <w:spacing w:after="120" w:line="324" w:lineRule="auto"/>
        <w:jc w:val="both"/>
      </w:pPr>
      <w:r>
        <w:rPr>
          <w:rFonts w:ascii="Times New Roman" w:hAnsi="Times New Roman"/>
          <w:b w:val="0"/>
          <w:i w:val="0"/>
          <w:sz w:val="21"/>
        </w:rPr>
        <w:t>[2] M. Drusch et al., 'Sentinel-2: ESA's Optical High-Resolution Mission for GMES Operational Services,' Remote Sensing of Environment, vol. 120, pp. 25–36, 2012.</w:t>
      </w:r>
    </w:p>
    <w:p>
      <w:pPr>
        <w:spacing w:after="120" w:line="324" w:lineRule="auto"/>
        <w:jc w:val="both"/>
      </w:pPr>
      <w:r>
        <w:rPr>
          <w:rFonts w:ascii="Times New Roman" w:hAnsi="Times New Roman"/>
          <w:b w:val="0"/>
          <w:i w:val="0"/>
          <w:sz w:val="21"/>
        </w:rPr>
        <w:t>[3] Indian Council of Agricultural Research (ICAR), 'Handbook of Agriculture: Facts and Figures for Farmers, Students and All Interested in Farming,' Directorate of Knowledge Management in Agriculture, New Delhi, 2021.</w:t>
      </w:r>
    </w:p>
    <w:p>
      <w:pPr>
        <w:spacing w:after="120" w:line="324" w:lineRule="auto"/>
        <w:jc w:val="both"/>
      </w:pPr>
      <w:r>
        <w:rPr>
          <w:rFonts w:ascii="Times New Roman" w:hAnsi="Times New Roman"/>
          <w:b w:val="0"/>
          <w:i w:val="0"/>
          <w:sz w:val="21"/>
        </w:rPr>
        <w:t>[4] International Rice Research Institute (IRRI), 'Standard Evaluation System for Rice (SES) — Rice Blast (Pyricularia oryzae) Assessment Guidelines,' Los Baños, Philippines, 2014.</w:t>
      </w:r>
    </w:p>
    <w:p>
      <w:pPr>
        <w:spacing w:after="120" w:line="324" w:lineRule="auto"/>
        <w:jc w:val="both"/>
      </w:pPr>
      <w:r>
        <w:rPr>
          <w:rFonts w:ascii="Times New Roman" w:hAnsi="Times New Roman"/>
          <w:b w:val="0"/>
          <w:i w:val="0"/>
          <w:sz w:val="21"/>
        </w:rPr>
        <w:t>[5] J. Vargas-Munoz et al., 'OpenStreetMap: Challenges and Opportunities in Machine Learning and Remote Sensing,' IEEE Geoscience and Remote Sensing Magazine, vol. 9, no. 1, pp. 184–199, 2021.</w:t>
      </w:r>
    </w:p>
    <w:p>
      <w:pPr>
        <w:spacing w:after="120" w:line="324" w:lineRule="auto"/>
        <w:jc w:val="both"/>
      </w:pPr>
      <w:r>
        <w:rPr>
          <w:rFonts w:ascii="Times New Roman" w:hAnsi="Times New Roman"/>
          <w:b w:val="0"/>
          <w:i w:val="0"/>
          <w:sz w:val="21"/>
        </w:rPr>
        <w:t>[6] K. Patil et al., 'IoT and Machine Learning Driven Decision Support Architecture for Precision Irrigation Scheduling,' IEEE Transactions on AgriFood Electronics, vol. 1, no. 2, pp. 112–124, 2023.</w:t>
      </w:r>
    </w:p>
    <w:p>
      <w:pPr>
        <w:spacing w:after="120" w:line="324" w:lineRule="auto"/>
        <w:jc w:val="both"/>
      </w:pPr>
      <w:r>
        <w:rPr>
          <w:rFonts w:ascii="Times New Roman" w:hAnsi="Times New Roman"/>
          <w:b w:val="0"/>
          <w:i w:val="0"/>
          <w:sz w:val="21"/>
        </w:rPr>
        <w:t>[7] European Space Agency (ESA), 'Copernicus Open Access Hub — Sentinel-1 SAR and Sentinel-2 MSI Technical User Handbook,' ESA Communications, Noordwijk, Netherlands, 2023.</w:t>
      </w:r>
    </w:p>
    <w:p>
      <w:pPr>
        <w:spacing w:after="120" w:line="324" w:lineRule="auto"/>
        <w:jc w:val="both"/>
      </w:pPr>
      <w:r>
        <w:rPr>
          <w:rFonts w:ascii="Times New Roman" w:hAnsi="Times New Roman"/>
          <w:b w:val="0"/>
          <w:i w:val="0"/>
          <w:sz w:val="21"/>
        </w:rPr>
        <w:t>[8] Open-Meteo, 'Open-Source Weather Forecast API &amp; Numerical Soil Moisture Models Documentation,' [Online]. Available: https://open-meteo.com/en/docs</w:t>
      </w:r>
    </w:p>
    <w:p>
      <w:pPr>
        <w:spacing w:after="120" w:line="324" w:lineRule="auto"/>
        <w:jc w:val="both"/>
      </w:pPr>
      <w:r>
        <w:rPr>
          <w:rFonts w:ascii="Times New Roman" w:hAnsi="Times New Roman"/>
          <w:b w:val="0"/>
          <w:i w:val="0"/>
          <w:sz w:val="21"/>
        </w:rPr>
        <w:t>[9] Meta Platforms, Inc., 'React — A JavaScript Library for Building User Interfaces, Version 18.x,' 2024. [Online]. Available: https://react.dev/</w:t>
      </w:r>
    </w:p>
    <w:p>
      <w:pPr>
        <w:spacing w:after="120" w:line="324" w:lineRule="auto"/>
        <w:jc w:val="both"/>
      </w:pPr>
      <w:r>
        <w:rPr>
          <w:rFonts w:ascii="Times New Roman" w:hAnsi="Times New Roman"/>
          <w:b w:val="0"/>
          <w:i w:val="0"/>
          <w:sz w:val="21"/>
        </w:rPr>
        <w:t>[10] OpenJS Foundation, 'Node.js — JavaScript Runtime Built on Chrome's V8 Engine, Version 22 LTS,' 2024. [Online]. Available: https://nodejs.org/</w:t>
      </w:r>
    </w:p>
    <w:p>
      <w:pPr>
        <w:spacing w:after="120" w:line="324" w:lineRule="auto"/>
        <w:jc w:val="both"/>
      </w:pPr>
      <w:r>
        <w:rPr>
          <w:rFonts w:ascii="Times New Roman" w:hAnsi="Times New Roman"/>
          <w:b w:val="0"/>
          <w:i w:val="0"/>
          <w:sz w:val="21"/>
        </w:rPr>
        <w:t>[11] OpenJS Foundation, 'Express.js — Fast, Unopinionated, Minimalist Web Framework for Node.js, Version 4.x,' 2024.</w:t>
      </w:r>
    </w:p>
    <w:p>
      <w:pPr>
        <w:spacing w:after="120" w:line="324" w:lineRule="auto"/>
        <w:jc w:val="both"/>
      </w:pPr>
      <w:r>
        <w:rPr>
          <w:rFonts w:ascii="Times New Roman" w:hAnsi="Times New Roman"/>
          <w:b w:val="0"/>
          <w:i w:val="0"/>
          <w:sz w:val="21"/>
        </w:rPr>
        <w:t>[12] MongoDB, Inc., 'MongoDB Documentation — Version 7.0 &amp; 8.0 Cloud Manual,' 2024.</w:t>
      </w:r>
    </w:p>
    <w:p>
      <w:pPr>
        <w:spacing w:after="120" w:line="324" w:lineRule="auto"/>
        <w:jc w:val="both"/>
      </w:pPr>
      <w:r>
        <w:rPr>
          <w:rFonts w:ascii="Times New Roman" w:hAnsi="Times New Roman"/>
          <w:b w:val="0"/>
          <w:i w:val="0"/>
          <w:sz w:val="21"/>
        </w:rPr>
        <w:t>[13] Automattic, Inc., 'Mongoose — Elegant MongoDB Object Modeling for Node.js, Version 8.x,' 2024.</w:t>
      </w:r>
    </w:p>
    <w:p>
      <w:pPr>
        <w:spacing w:after="120" w:line="324" w:lineRule="auto"/>
        <w:jc w:val="both"/>
      </w:pPr>
      <w:r>
        <w:rPr>
          <w:rFonts w:ascii="Times New Roman" w:hAnsi="Times New Roman"/>
          <w:b w:val="0"/>
          <w:i w:val="0"/>
          <w:sz w:val="21"/>
        </w:rPr>
        <w:t>[14] Axios Contributors, 'Axios — Promise-Based HTTP Client for the Browser and Node.js, Version 1.x,' 2024.</w:t>
      </w:r>
    </w:p>
    <w:p>
      <w:pPr>
        <w:spacing w:after="120" w:line="324" w:lineRule="auto"/>
        <w:jc w:val="both"/>
      </w:pPr>
      <w:r>
        <w:rPr>
          <w:rFonts w:ascii="Times New Roman" w:hAnsi="Times New Roman"/>
          <w:b w:val="0"/>
          <w:i w:val="0"/>
          <w:sz w:val="21"/>
        </w:rPr>
        <w:t>[15] Evan You et al., 'Vite — Next Generation Frontend Tooling, Version 5.x / 6.x,' 2024.</w:t>
      </w:r>
    </w:p>
    <w:p>
      <w:pPr>
        <w:spacing w:after="120" w:line="324" w:lineRule="auto"/>
        <w:jc w:val="both"/>
      </w:pPr>
      <w:r>
        <w:rPr>
          <w:rFonts w:ascii="Times New Roman" w:hAnsi="Times New Roman"/>
          <w:b w:val="0"/>
          <w:i w:val="0"/>
          <w:sz w:val="21"/>
        </w:rPr>
        <w:t>[16] Lucide Contributors, 'Lucide Icons — Beautiful &amp; Consistent SVG Icon Toolkit for Modern Web Applications,' 2024.</w:t>
      </w:r>
    </w:p>
    <w:p>
      <w:pPr>
        <w:spacing w:after="120" w:line="324" w:lineRule="auto"/>
        <w:jc w:val="both"/>
      </w:pPr>
      <w:r>
        <w:rPr>
          <w:rFonts w:ascii="Times New Roman" w:hAnsi="Times New Roman"/>
          <w:b w:val="0"/>
          <w:i w:val="0"/>
          <w:sz w:val="21"/>
        </w:rPr>
        <w:t>[17] Department of Agriculture and Farmers Welfare, Ministry of Agriculture, 'National Mission on Sustainable Agriculture (NMSA) Guidelines,' New Delhi, 2022.</w:t>
      </w:r>
    </w:p>
    <w:p>
      <w:pPr>
        <w:spacing w:after="120" w:line="324" w:lineRule="auto"/>
        <w:jc w:val="both"/>
      </w:pPr>
      <w:r>
        <w:rPr>
          <w:rFonts w:ascii="Times New Roman" w:hAnsi="Times New Roman"/>
          <w:b w:val="0"/>
          <w:i w:val="0"/>
          <w:sz w:val="21"/>
        </w:rPr>
        <w:t>[18] Tamil Nadu Agricultural University (TNAU), 'Crop Production Guide: Agriculture 2020,' Directorate of Agriculture, Coimbatore, 2020.</w:t>
      </w:r>
    </w:p>
    <w:p>
      <w:pPr>
        <w:spacing w:after="120" w:line="324" w:lineRule="auto"/>
        <w:jc w:val="both"/>
      </w:pPr>
      <w:r>
        <w:rPr>
          <w:rFonts w:ascii="Times New Roman" w:hAnsi="Times New Roman"/>
          <w:b w:val="0"/>
          <w:i w:val="0"/>
          <w:sz w:val="21"/>
        </w:rPr>
        <w:t>[19] G. Balsamo et al., 'ERA5-Land: A state-of-the-art global reanalysis dataset for land applications,' Earth System Science Data, vol. 13, pp. 4349–4383, 2021.</w:t>
      </w:r>
    </w:p>
    <w:p>
      <w:pPr>
        <w:spacing w:after="120" w:line="324" w:lineRule="auto"/>
        <w:jc w:val="both"/>
      </w:pPr>
      <w:r>
        <w:rPr>
          <w:rFonts w:ascii="Times New Roman" w:hAnsi="Times New Roman"/>
          <w:b w:val="0"/>
          <w:i w:val="0"/>
          <w:sz w:val="21"/>
        </w:rPr>
        <w:t>[20] Securities and Exchange Board of India (SEBI), 'Business Responsibility and Sustainability Reporting (BRSR) Framework,' Mumbai, 2021.</w:t>
      </w:r>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