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ТЗ. Раздел: Расчёт инфраструктуры</w:t>
      </w:r>
    </w:p>
    <w:p>
      <w:r>
        <w:rPr>
          <w:sz w:val="22"/>
        </w:rPr>
        <w:t>Проект: Enterprise Knowledge Base (RAG-платформа на LightRAG). Документ описывает минимально достаточную и целевую конфигурацию аппаратных ресурсов для dev/staging/prod.</w:t>
      </w:r>
    </w:p>
    <w:p>
      <w:pPr>
        <w:pStyle w:val="Heading1"/>
      </w:pPr>
      <w:r>
        <w:rPr>
          <w:sz w:val="22"/>
        </w:rPr>
        <w:t>1. Целевая нагрузка и допущения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Поток ingestion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5 000 документов/день (≈ 0.06 док/с)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Средний размер документа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5 МБ (PDF/DOCX/PPTX/TXT)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Чанков на документ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≈ 50 (семантический чанкинг)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Поток чанков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250 000 чанков/день, ~90 М/год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RPS поиска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10–30 QPS пик, 5 QPS средний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Latency поиска (hybrid)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p95 &lt; 500 мс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RAGAS faithfulness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≥ 0.85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Uptime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99.5%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Embedding-модель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BGE-M3, dim=1024 (через LiteLLM)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LLM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Llama 3.3 70B (Q4/Q8) через LiteLLM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Reranker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BGE-reranker-v2-m3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Горизонт хранения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3 года полных данных, далее архив</w:t>
            </w:r>
          </w:p>
        </w:tc>
      </w:tr>
    </w:tbl>
    <w:p>
      <w:pPr>
        <w:pStyle w:val="Heading1"/>
      </w:pPr>
      <w:r>
        <w:rPr>
          <w:sz w:val="22"/>
        </w:rPr>
        <w:t>2. Расчёт хранилища (3 года)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Объём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Сырые документы (object storage)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5 000 × 5 МБ × 365 ×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~27 ТБ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Dense vectors (Milvus)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90M × 1024 × 4 Б ×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~1.1 ТБ (HNSW +30% overhead → ~1.5 ТБ)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Sparse vectors / BM25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~10–15% от dense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~150 ГБ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Knowledge graph (Neo4j)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≈ 50 М узлов, 100 М рёбер + props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~400 ГБ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PostgreSQL (метаданные, статусы, summary)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~5 КБ/документ × 5.5 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~30 ГБ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LightRAG working_dir (KV, doc_status)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~10% от vectors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~150 ГБ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RabbitMQ + LangFuse + логи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Audit + observability ретеншн 90 д.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~200 ГБ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ИТОГО (полезный объём)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~30 ТБ (рекомендация: 40 ТБ с резервом 30%)</w:t>
            </w:r>
          </w:p>
        </w:tc>
      </w:tr>
    </w:tbl>
    <w:p>
      <w:pPr>
        <w:pStyle w:val="Heading1"/>
      </w:pPr>
      <w:r>
        <w:rPr>
          <w:sz w:val="22"/>
        </w:rPr>
        <w:t>3. Ресурсы сервисов (на одну реплику)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20"/>
              </w:rPr>
              <w:t>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20"/>
              </w:rPr>
              <w:t>RAM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20"/>
              </w:rPr>
              <w:t>GPU / VRAM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20"/>
              </w:rPr>
              <w:t>Disk (SSD NVMe)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LLM (Llama 3.3 70B, Q4)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8 vCPU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32 ГБ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1× A100 80 ГБ или 2× L40S 48 ГБ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200 ГБ (модели)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Embeddings BGE-M3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4 vCPU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16 ГБ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1× T4 16 ГБ или CPU-fallback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20 ГБ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Reranker BGE-v2-m3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4 vCPU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8 ГБ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Шарит GPU с embeddings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10 ГБ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LiteLLM proxy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2 vCPU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4 ГБ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10 ГБ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Milvus Distributed (cluster)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16 vCPU суммарно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64 ГБ суммарно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1.5 ТБ + резерв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Neo4j Enterprise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8 vCPU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32 ГБ (heap 16, pagecache 12)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500 ГБ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PostgreSQL 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4 vCPU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16 ГБ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100 ГБ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RabbitMQ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2 vCPU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4 ГБ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50 ГБ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FastAPI (uvicorn)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4 vCPU × N реплик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8 ГБ × 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10 ГБ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Taskiq worker (ingestion)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8 vCPU × N реплик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16 ГБ × 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20 ГБ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LangFuse (observability)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4 vCPU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8 ГБ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100 ГБ</w:t>
            </w:r>
          </w:p>
        </w:tc>
      </w:tr>
    </w:tbl>
    <w:p>
      <w:pPr>
        <w:pStyle w:val="Heading1"/>
      </w:pPr>
      <w:r>
        <w:rPr>
          <w:sz w:val="22"/>
        </w:rPr>
        <w:t>4. Сводные конфигурации</w:t>
      </w:r>
    </w:p>
    <w:p>
      <w:pPr>
        <w:pStyle w:val="Heading2"/>
      </w:pPr>
      <w:r>
        <w:rPr>
          <w:sz w:val="22"/>
        </w:rPr>
        <w:t>4.1. Dev / Staging (1 хост)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Ресурс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CPU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32 vCPU (Xeon Gold / EPYC)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RAM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128 ГБ DDR4/DDR5 ECC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GPU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1× A100 40 ГБ или 1× RTX 6000 Ada 48 ГБ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Storage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4 ТБ NVMe SSD (RAID 1)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Сеть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10 Gbps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Назначение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Один хост, все сервисы через docker compose</w:t>
            </w:r>
          </w:p>
        </w:tc>
      </w:tr>
    </w:tbl>
    <w:p>
      <w:pPr>
        <w:pStyle w:val="Heading2"/>
      </w:pPr>
      <w:r>
        <w:rPr>
          <w:sz w:val="22"/>
        </w:rPr>
        <w:t>4.2. Production (кластер)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Узел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Конфигурация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GPU-нода (LLM)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2 (active + standby)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32 vCPU, 256 ГБ RAM, 1× A100 80 ГБ, 2 ТБ NVMe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GPU-нода (embed/rerank)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16 vCPU, 64 ГБ RAM, 1× L4 24 ГБ, 500 ГБ NVMe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Milvus / Neo4j storage-нода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32 vCPU, 128 ГБ RAM, 8 ТБ NVMe (RAID 10)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App-нода (API + worker)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16 vCPU, 64 ГБ RAM, 500 ГБ SSD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Infra-нода (Postgres + Rabbit + LangFuse)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2 (HA-пара)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16 vCPU, 64 ГБ RAM, 2 ТБ NVMe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Object storage (raw docs)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S3-совместимое (MinIO HA)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40+ ТБ полезного объёма, репликация ×3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Сеть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25 Gbps между нодами, 10 Gbps uplink</w:t>
            </w:r>
          </w:p>
        </w:tc>
      </w:tr>
    </w:tbl>
    <w:p>
      <w:r>
        <w:rPr>
          <w:sz w:val="22"/>
        </w:rPr>
        <w:t>ИТОГО prod-кластер: 12 узлов, ~256 vCPU, ~1 ТБ RAM, 4× GPU, ~50 ТБ NVMe.</w:t>
      </w:r>
    </w:p>
    <w:p>
      <w:pPr>
        <w:pStyle w:val="Heading1"/>
      </w:pPr>
      <w:r>
        <w:rPr>
          <w:sz w:val="22"/>
        </w:rPr>
        <w:t>5. Сетевые и эксплуатационные требования</w:t>
      </w:r>
    </w:p>
    <w:p>
      <w:r>
        <w:rPr>
          <w:sz w:val="22"/>
        </w:rPr>
        <w:t>• Внутренняя сеть L2/L3 ≥ 10 Gbps между Milvus / Neo4j / GPU-нодами; TLS 1.3 на всех публичных эндпоинтах.</w:t>
        <w:br/>
        <w:t>• Доступ к API только через reverse-proxy (nginx / Traefik) с rate-limit и аутентификацией по X-API-Key.</w:t>
        <w:br/>
        <w:t>• LiteLLM-прокси изолирован во внутренней сети, наружу не публикуется.</w:t>
        <w:br/>
        <w:t>• Бэкапы: PG + Neo4j ежедневно, Milvus snapshot — еженедельно, хранение 30 дней.</w:t>
        <w:br/>
        <w:t>• Мониторинг: Prometheus + Grafana + LangFuse, алерты в Slack/PagerDuty.</w:t>
        <w:br/>
        <w:t>• SLO: API uptime 99.5%, ingestion success rate ≥ 99%, search p95 &lt; 500 мс.</w:t>
      </w:r>
    </w:p>
    <w:p>
      <w:pPr>
        <w:pStyle w:val="Heading1"/>
      </w:pPr>
      <w:r>
        <w:rPr>
          <w:sz w:val="22"/>
        </w:rPr>
        <w:t>6. План масштабирования</w:t>
      </w:r>
    </w:p>
    <w:p>
      <w:r>
        <w:rPr>
          <w:sz w:val="22"/>
        </w:rPr>
        <w:t>• До 10 000 док/день: горизонтальный +1 worker-нода и +1 Milvus QueryNode.</w:t>
        <w:br/>
        <w:t>• До 50 000 док/день: шардирование Milvus по департаменту, выделенный Neo4j Causal Cluster (3+ core), увеличение GPU-пула до 4×A100.</w:t>
        <w:br/>
        <w:t>• Embedding throughput скейлится репликами BGE-M3 за LiteLLM load-balancer'ом.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