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0"/>
        <w:gridCol w:w="1080"/>
        <w:gridCol w:w="1008"/>
        <w:gridCol w:w="1440"/>
        <w:gridCol w:w="720"/>
        <w:gridCol w:w="1584"/>
      </w:tblGrid>
      <w:tr>
        <w:trPr>
          <w:trHeight w:val="360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1: Meta-analysis data table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 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Wakabayashi, M. et al. (2022)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[1.080; 1.960]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Rhew, I. C. et al. (2025)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[1.120; 1.290]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Baek, S.-U. &amp; Yoon, J.-H. (2026)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[1.090; 2.120]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Abbreviations: OR = odds ratio; RR = risk ratio; PR = prevalence ratio; CI = confidence interval.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Source: Own data extraction based on the studies included in the meta-analysis.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2026-07-11T13:59:44Z</dcterms:modified>
  <cp:category/>
</cp:coreProperties>
</file>