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080"/>
        <w:gridCol w:w="1008"/>
        <w:gridCol w:w="1440"/>
        <w:gridCol w:w="720"/>
        <w:gridCol w:w="1584"/>
      </w:tblGrid>
      <w:tr>
        <w:trPr>
          <w:trHeight w:val="360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1: Meta-analysis data table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Wakabayashi, M. et al. (2022)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[1.080; 1.960]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Yang, T.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[1.002; 1.075]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Rhew, I. C. et al. (2025)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[1.120; 1.290]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Baek, S.-U. &amp; Yoon, J.-H. (2026)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[1.090; 2.120]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Abbreviations: OR = odds ratio; RR = risk ratio; PR = prevalence ratio; CI = confidence interval.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Source: Own data extraction based on the studies included in the meta-analysis.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2026-07-11T13:59:45Z</dcterms:modified>
  <cp:category/>
</cp:coreProperties>
</file>