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512"/>
        <w:gridCol w:w="432"/>
        <w:gridCol w:w="1080"/>
        <w:gridCol w:w="1368"/>
        <w:gridCol w:w="792"/>
        <w:gridCol w:w="792"/>
        <w:gridCol w:w="648"/>
        <w:gridCol w:w="1008"/>
      </w:tblGrid>
      <w:tr>
        <w:trPr>
          <w:trHeight w:val="360" w:hRule="auto"/>
          <w:tblHeader/>
        </w:trPr>
        <w:tc>
          <w:tcPr>
            <w:gridSpan w:val="9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2: Summary of random-effects meta-analysis results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Analysis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Subgroup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Pooled 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I²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τ²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subgroup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[1.101; 1.512]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[1.167; 1.867]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[1.112; 1.295]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[1.076; 1.953]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.254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Young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[1.112; 1.295]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Older adults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[1.038; 2.226]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Note: Pooled effects are back-transformed relative effects.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Abbreviations: CI = confidence interval; I² = heterogeneity; τ² = between-study variance; p subgroup = test for subgroup differences.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Source: Own calculations based on the studies included in the meta-analysis.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2026-07-11T13:59:47Z</dcterms:modified>
  <cp:category/>
</cp:coreProperties>
</file>