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512"/>
        <w:gridCol w:w="432"/>
        <w:gridCol w:w="1080"/>
        <w:gridCol w:w="1368"/>
        <w:gridCol w:w="792"/>
        <w:gridCol w:w="792"/>
        <w:gridCol w:w="648"/>
        <w:gridCol w:w="1008"/>
      </w:tblGrid>
      <w:tr>
        <w:trPr>
          <w:trHeight w:val="360" w:hRule="auto"/>
          <w:tblHeader/>
        </w:trPr>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2: Summary of random-effects meta-analysis results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Subgroup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Pooled 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I²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τ²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subgroup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[1.027; 1.421]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[1.167; 1.867]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[0.964; 1.281]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[1.076; 1.953]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Older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[0.833; 1.716]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Young adults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[1.112; 1.295]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Note: Pooled effects are back-transformed relative effects.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Abbreviations: CI = confidence interval; I² = heterogeneity; τ² = between-study variance; p subgroup = test for subgroup differences.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Source: Own calculations based on the studies included in the meta-analysis.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2026-07-11T13:59:50Z</dcterms:modified>
  <cp:category/>
</cp:coreProperties>
</file>