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b/>
          <w:sz w:val="24"/>
        </w:rPr>
        <w:t>STARSAIL EXPORTS</w:t>
      </w:r>
    </w:p>
    <w:p>
      <w:r>
        <w:rPr>
          <w:color w:val="666666"/>
          <w:sz w:val="18"/>
        </w:rPr>
        <w:t>Shenzhen, China  |  Finance and Operations</w:t>
      </w:r>
    </w:p>
    <w:p>
      <w:pPr>
        <w:pStyle w:val="Title"/>
      </w:pPr>
      <w:r>
        <w:t>Company Cash Schedule</w:t>
      </w:r>
    </w:p>
    <w:p>
      <w:r>
        <w:rPr>
          <w:sz w:val="20"/>
        </w:rPr>
        <w:t>FIN 2026 1017  |  Revision 01  |  As of 17 October 2026</w:t>
      </w:r>
    </w:p>
    <w:p>
      <w:r>
        <w:t>A 56-day CNY cash plan for supplier payments and operating commitments, covering 17 October to 11 December 2026.</w:t>
      </w:r>
    </w:p>
    <w:p>
      <w:pPr>
        <w:pStyle w:val="Heading1"/>
      </w:pPr>
      <w:r>
        <w:t>Opening cash position</w:t>
      </w:r>
    </w:p>
    <w:p>
      <w:r>
        <w:rPr>
          <w:b/>
        </w:rPr>
        <w:t xml:space="preserve">CNY operating account available balance: </w:t>
      </w:r>
      <w:r>
        <w:t>128,000</w:t>
      </w:r>
    </w:p>
    <w:p>
      <w:r>
        <w:rPr>
          <w:b/>
        </w:rPr>
        <w:t xml:space="preserve">USD bank account balance displayed separately: </w:t>
      </w:r>
      <w:r>
        <w:t>19,970</w:t>
      </w:r>
    </w:p>
    <w:p>
      <w:r>
        <w:t>The USD balance is reserved for other overseas commitments and remains outside this CNY plan. Customer deposits already included in the opening balances are not counted again.</w:t>
      </w:r>
    </w:p>
    <w:p>
      <w:pPr>
        <w:pStyle w:val="Heading1"/>
      </w:pPr>
      <w:r>
        <w:t>Scheduled cash movements</w:t>
      </w:r>
    </w:p>
    <w:tbl>
      <w:tblPr>
        <w:tblW w:type="auto" w:w="0"/>
        <w:tblLayout w:type="fixed"/>
        <w:tblLook w:firstColumn="1" w:firstRow="1" w:lastColumn="0" w:lastRow="0" w:noHBand="0" w:noVBand="1" w:val="04A0"/>
      </w:tblPr>
      <w:tblGrid>
        <w:gridCol w:w="2088"/>
        <w:gridCol w:w="4320"/>
        <w:gridCol w:w="1224"/>
        <w:gridCol w:w="2448"/>
      </w:tblGrid>
      <w:tr>
        <w:trPr>
          <w:cantSplit/>
          <w:tblHeader/>
        </w:trPr>
        <w:tc>
          <w:tcPr>
            <w:tcW w:type="dxa" w:w="2088"/>
            <w:tcBorders>
              <w:bottom w:val="single" w:sz="5" w:color="D4DBD8"/>
            </w:tcBorders>
            <w:shd w:fill="EDF1EF"/>
          </w:tcPr>
          <w:p>
            <w:pPr>
              <w:spacing w:before="120" w:after="120" w:line="252" w:lineRule="auto"/>
            </w:pPr>
            <w:r>
              <w:rPr>
                <w:b/>
                <w:sz w:val="20"/>
              </w:rPr>
              <w:t>Date</w:t>
            </w:r>
          </w:p>
        </w:tc>
        <w:tc>
          <w:tcPr>
            <w:tcW w:type="dxa" w:w="4320"/>
            <w:tcBorders>
              <w:bottom w:val="single" w:sz="5" w:color="D4DBD8"/>
            </w:tcBorders>
            <w:shd w:fill="EDF1EF"/>
          </w:tcPr>
          <w:p>
            <w:pPr>
              <w:spacing w:before="120" w:after="120" w:line="252" w:lineRule="auto"/>
            </w:pPr>
            <w:r>
              <w:rPr>
                <w:b/>
                <w:sz w:val="20"/>
              </w:rPr>
              <w:t>Purpose</w:t>
            </w:r>
          </w:p>
        </w:tc>
        <w:tc>
          <w:tcPr>
            <w:tcW w:type="dxa" w:w="1224"/>
            <w:tcBorders>
              <w:bottom w:val="single" w:sz="5" w:color="D4DBD8"/>
            </w:tcBorders>
            <w:shd w:fill="EDF1EF"/>
          </w:tcPr>
          <w:p>
            <w:pPr>
              <w:spacing w:before="120" w:after="120" w:line="252" w:lineRule="auto"/>
            </w:pPr>
            <w:r>
              <w:rPr>
                <w:b/>
                <w:sz w:val="20"/>
              </w:rPr>
              <w:t>Direction</w:t>
            </w:r>
          </w:p>
        </w:tc>
        <w:tc>
          <w:tcPr>
            <w:tcW w:type="dxa" w:w="2448"/>
            <w:tcBorders>
              <w:bottom w:val="single" w:sz="5" w:color="D4DBD8"/>
            </w:tcBorders>
            <w:shd w:fill="EDF1EF"/>
          </w:tcPr>
          <w:p>
            <w:pPr>
              <w:spacing w:before="120" w:after="120" w:line="252" w:lineRule="auto"/>
              <w:jc w:val="right"/>
            </w:pPr>
            <w:r>
              <w:rPr>
                <w:b/>
                <w:sz w:val="20"/>
              </w:rPr>
              <w:t>CNY</w:t>
            </w:r>
          </w:p>
        </w:tc>
      </w:tr>
      <w:tr>
        <w:trPr>
          <w:cantSplit/>
        </w:trPr>
        <w:tc>
          <w:tcPr>
            <w:tcW w:type="dxa" w:w="2088"/>
            <w:tcBorders>
              <w:bottom w:val="single" w:sz="5" w:color="D4DBD8"/>
            </w:tcBorders>
          </w:tcPr>
          <w:p>
            <w:pPr>
              <w:spacing w:before="120" w:after="120" w:line="252" w:lineRule="auto"/>
            </w:pPr>
            <w:r>
              <w:rPr>
                <w:b w:val="0"/>
                <w:sz w:val="20"/>
              </w:rPr>
              <w:t>22 October 2026</w:t>
            </w:r>
          </w:p>
        </w:tc>
        <w:tc>
          <w:tcPr>
            <w:tcW w:type="dxa" w:w="4320"/>
            <w:tcBorders>
              <w:bottom w:val="single" w:sz="5" w:color="D4DBD8"/>
            </w:tcBorders>
          </w:tcPr>
          <w:p>
            <w:pPr>
              <w:spacing w:before="120" w:after="120" w:line="252" w:lineRule="auto"/>
            </w:pPr>
            <w:r>
              <w:rPr>
                <w:b w:val="0"/>
                <w:sz w:val="20"/>
              </w:rPr>
              <w:t>TF-26104 supplier balance</w:t>
            </w:r>
          </w:p>
        </w:tc>
        <w:tc>
          <w:tcPr>
            <w:tcW w:type="dxa" w:w="1224"/>
            <w:tcBorders>
              <w:bottom w:val="single" w:sz="5" w:color="D4DBD8"/>
            </w:tcBorders>
          </w:tcPr>
          <w:p>
            <w:pPr>
              <w:spacing w:before="120" w:after="120" w:line="252" w:lineRule="auto"/>
            </w:pPr>
            <w:r>
              <w:rPr>
                <w:b w:val="0"/>
                <w:sz w:val="20"/>
              </w:rPr>
              <w:t>outflow</w:t>
            </w:r>
          </w:p>
        </w:tc>
        <w:tc>
          <w:tcPr>
            <w:tcW w:type="dxa" w:w="2448"/>
            <w:tcBorders>
              <w:bottom w:val="single" w:sz="5" w:color="D4DBD8"/>
            </w:tcBorders>
          </w:tcPr>
          <w:p>
            <w:pPr>
              <w:spacing w:before="120" w:after="120" w:line="252" w:lineRule="auto"/>
              <w:jc w:val="right"/>
            </w:pPr>
            <w:r>
              <w:rPr>
                <w:b w:val="0"/>
                <w:sz w:val="20"/>
              </w:rPr>
              <w:t>160,000</w:t>
            </w:r>
          </w:p>
        </w:tc>
      </w:tr>
      <w:tr>
        <w:trPr>
          <w:cantSplit/>
        </w:trPr>
        <w:tc>
          <w:tcPr>
            <w:tcW w:type="dxa" w:w="2088"/>
            <w:tcBorders>
              <w:bottom w:val="single" w:sz="5" w:color="D4DBD8"/>
            </w:tcBorders>
          </w:tcPr>
          <w:p>
            <w:pPr>
              <w:spacing w:before="120" w:after="120" w:line="252" w:lineRule="auto"/>
            </w:pPr>
            <w:r>
              <w:rPr>
                <w:b w:val="0"/>
                <w:sz w:val="20"/>
              </w:rPr>
              <w:t>29 October 2026</w:t>
            </w:r>
          </w:p>
        </w:tc>
        <w:tc>
          <w:tcPr>
            <w:tcW w:type="dxa" w:w="4320"/>
            <w:tcBorders>
              <w:bottom w:val="single" w:sz="5" w:color="D4DBD8"/>
            </w:tcBorders>
          </w:tcPr>
          <w:p>
            <w:pPr>
              <w:spacing w:before="120" w:after="120" w:line="252" w:lineRule="auto"/>
            </w:pPr>
            <w:r>
              <w:rPr>
                <w:b w:val="0"/>
                <w:sz w:val="20"/>
              </w:rPr>
              <w:t>TF-26104 buyer proceeds</w:t>
            </w:r>
          </w:p>
        </w:tc>
        <w:tc>
          <w:tcPr>
            <w:tcW w:type="dxa" w:w="1224"/>
            <w:tcBorders>
              <w:bottom w:val="single" w:sz="5" w:color="D4DBD8"/>
            </w:tcBorders>
          </w:tcPr>
          <w:p>
            <w:pPr>
              <w:spacing w:before="120" w:after="120" w:line="252" w:lineRule="auto"/>
            </w:pPr>
            <w:r>
              <w:rPr>
                <w:b w:val="0"/>
                <w:sz w:val="20"/>
              </w:rPr>
              <w:t>inflow</w:t>
            </w:r>
          </w:p>
        </w:tc>
        <w:tc>
          <w:tcPr>
            <w:tcW w:type="dxa" w:w="2448"/>
            <w:tcBorders>
              <w:bottom w:val="single" w:sz="5" w:color="D4DBD8"/>
            </w:tcBorders>
          </w:tcPr>
          <w:p>
            <w:pPr>
              <w:spacing w:before="120" w:after="120" w:line="252" w:lineRule="auto"/>
              <w:jc w:val="right"/>
            </w:pPr>
            <w:r>
              <w:rPr>
                <w:b w:val="0"/>
                <w:sz w:val="20"/>
              </w:rPr>
              <w:t>80,000</w:t>
            </w:r>
          </w:p>
        </w:tc>
      </w:tr>
      <w:tr>
        <w:trPr>
          <w:cantSplit/>
        </w:trPr>
        <w:tc>
          <w:tcPr>
            <w:tcW w:type="dxa" w:w="2088"/>
            <w:tcBorders>
              <w:bottom w:val="single" w:sz="5" w:color="D4DBD8"/>
            </w:tcBorders>
          </w:tcPr>
          <w:p>
            <w:pPr>
              <w:spacing w:before="120" w:after="120" w:line="252" w:lineRule="auto"/>
            </w:pPr>
            <w:r>
              <w:rPr>
                <w:b w:val="0"/>
                <w:sz w:val="20"/>
              </w:rPr>
              <w:t>6 November 2026</w:t>
            </w:r>
          </w:p>
        </w:tc>
        <w:tc>
          <w:tcPr>
            <w:tcW w:type="dxa" w:w="4320"/>
            <w:tcBorders>
              <w:bottom w:val="single" w:sz="5" w:color="D4DBD8"/>
            </w:tcBorders>
          </w:tcPr>
          <w:p>
            <w:pPr>
              <w:spacing w:before="120" w:after="120" w:line="252" w:lineRule="auto"/>
            </w:pPr>
            <w:r>
              <w:rPr>
                <w:b w:val="0"/>
                <w:sz w:val="20"/>
              </w:rPr>
              <w:t>Logistics and operating costs</w:t>
            </w:r>
          </w:p>
        </w:tc>
        <w:tc>
          <w:tcPr>
            <w:tcW w:type="dxa" w:w="1224"/>
            <w:tcBorders>
              <w:bottom w:val="single" w:sz="5" w:color="D4DBD8"/>
            </w:tcBorders>
          </w:tcPr>
          <w:p>
            <w:pPr>
              <w:spacing w:before="120" w:after="120" w:line="252" w:lineRule="auto"/>
            </w:pPr>
            <w:r>
              <w:rPr>
                <w:b w:val="0"/>
                <w:sz w:val="20"/>
              </w:rPr>
              <w:t>outflow</w:t>
            </w:r>
          </w:p>
        </w:tc>
        <w:tc>
          <w:tcPr>
            <w:tcW w:type="dxa" w:w="2448"/>
            <w:tcBorders>
              <w:bottom w:val="single" w:sz="5" w:color="D4DBD8"/>
            </w:tcBorders>
          </w:tcPr>
          <w:p>
            <w:pPr>
              <w:spacing w:before="120" w:after="120" w:line="252" w:lineRule="auto"/>
              <w:jc w:val="right"/>
            </w:pPr>
            <w:r>
              <w:rPr>
                <w:b w:val="0"/>
                <w:sz w:val="20"/>
              </w:rPr>
              <w:t>42,000</w:t>
            </w:r>
          </w:p>
        </w:tc>
      </w:tr>
      <w:tr>
        <w:trPr>
          <w:cantSplit/>
        </w:trPr>
        <w:tc>
          <w:tcPr>
            <w:tcW w:type="dxa" w:w="2088"/>
            <w:tcBorders>
              <w:bottom w:val="single" w:sz="5" w:color="D4DBD8"/>
            </w:tcBorders>
          </w:tcPr>
          <w:p>
            <w:pPr>
              <w:spacing w:before="120" w:after="120" w:line="252" w:lineRule="auto"/>
            </w:pPr>
            <w:r>
              <w:rPr>
                <w:b w:val="0"/>
                <w:sz w:val="20"/>
              </w:rPr>
              <w:t>16 November 2026</w:t>
            </w:r>
          </w:p>
        </w:tc>
        <w:tc>
          <w:tcPr>
            <w:tcW w:type="dxa" w:w="4320"/>
            <w:tcBorders>
              <w:bottom w:val="single" w:sz="5" w:color="D4DBD8"/>
            </w:tcBorders>
          </w:tcPr>
          <w:p>
            <w:pPr>
              <w:spacing w:before="120" w:after="120" w:line="252" w:lineRule="auto"/>
            </w:pPr>
            <w:r>
              <w:rPr>
                <w:b w:val="0"/>
                <w:sz w:val="20"/>
              </w:rPr>
              <w:t>Other customer collection</w:t>
            </w:r>
          </w:p>
        </w:tc>
        <w:tc>
          <w:tcPr>
            <w:tcW w:type="dxa" w:w="1224"/>
            <w:tcBorders>
              <w:bottom w:val="single" w:sz="5" w:color="D4DBD8"/>
            </w:tcBorders>
          </w:tcPr>
          <w:p>
            <w:pPr>
              <w:spacing w:before="120" w:after="120" w:line="252" w:lineRule="auto"/>
            </w:pPr>
            <w:r>
              <w:rPr>
                <w:b w:val="0"/>
                <w:sz w:val="20"/>
              </w:rPr>
              <w:t>inflow</w:t>
            </w:r>
          </w:p>
        </w:tc>
        <w:tc>
          <w:tcPr>
            <w:tcW w:type="dxa" w:w="2448"/>
            <w:tcBorders>
              <w:bottom w:val="single" w:sz="5" w:color="D4DBD8"/>
            </w:tcBorders>
          </w:tcPr>
          <w:p>
            <w:pPr>
              <w:spacing w:before="120" w:after="120" w:line="252" w:lineRule="auto"/>
              <w:jc w:val="right"/>
            </w:pPr>
            <w:r>
              <w:rPr>
                <w:b w:val="0"/>
                <w:sz w:val="20"/>
              </w:rPr>
              <w:t>120,000</w:t>
            </w:r>
          </w:p>
        </w:tc>
      </w:tr>
      <w:tr>
        <w:trPr>
          <w:cantSplit/>
        </w:trPr>
        <w:tc>
          <w:tcPr>
            <w:tcW w:type="dxa" w:w="2088"/>
            <w:tcBorders>
              <w:bottom w:val="single" w:sz="5" w:color="D4DBD8"/>
            </w:tcBorders>
          </w:tcPr>
          <w:p>
            <w:pPr>
              <w:spacing w:before="120" w:after="120" w:line="252" w:lineRule="auto"/>
            </w:pPr>
            <w:r>
              <w:rPr>
                <w:b w:val="0"/>
                <w:sz w:val="20"/>
              </w:rPr>
              <w:t>26 November 2026</w:t>
            </w:r>
          </w:p>
        </w:tc>
        <w:tc>
          <w:tcPr>
            <w:tcW w:type="dxa" w:w="4320"/>
            <w:tcBorders>
              <w:bottom w:val="single" w:sz="5" w:color="D4DBD8"/>
            </w:tcBorders>
          </w:tcPr>
          <w:p>
            <w:pPr>
              <w:spacing w:before="120" w:after="120" w:line="252" w:lineRule="auto"/>
            </w:pPr>
            <w:r>
              <w:rPr>
                <w:b w:val="0"/>
                <w:sz w:val="20"/>
              </w:rPr>
              <w:t>Operating payment</w:t>
            </w:r>
          </w:p>
        </w:tc>
        <w:tc>
          <w:tcPr>
            <w:tcW w:type="dxa" w:w="1224"/>
            <w:tcBorders>
              <w:bottom w:val="single" w:sz="5" w:color="D4DBD8"/>
            </w:tcBorders>
          </w:tcPr>
          <w:p>
            <w:pPr>
              <w:spacing w:before="120" w:after="120" w:line="252" w:lineRule="auto"/>
            </w:pPr>
            <w:r>
              <w:rPr>
                <w:b w:val="0"/>
                <w:sz w:val="20"/>
              </w:rPr>
              <w:t>outflow</w:t>
            </w:r>
          </w:p>
        </w:tc>
        <w:tc>
          <w:tcPr>
            <w:tcW w:type="dxa" w:w="2448"/>
            <w:tcBorders>
              <w:bottom w:val="single" w:sz="5" w:color="D4DBD8"/>
            </w:tcBorders>
          </w:tcPr>
          <w:p>
            <w:pPr>
              <w:spacing w:before="120" w:after="120" w:line="252" w:lineRule="auto"/>
              <w:jc w:val="right"/>
            </w:pPr>
            <w:r>
              <w:rPr>
                <w:b w:val="0"/>
                <w:sz w:val="20"/>
              </w:rPr>
              <w:t>38,000</w:t>
            </w:r>
          </w:p>
        </w:tc>
      </w:tr>
      <w:tr>
        <w:trPr>
          <w:cantSplit/>
        </w:trPr>
        <w:tc>
          <w:tcPr>
            <w:tcW w:type="dxa" w:w="2088"/>
            <w:tcBorders>
              <w:bottom w:val="single" w:sz="5" w:color="D4DBD8"/>
            </w:tcBorders>
          </w:tcPr>
          <w:p>
            <w:pPr>
              <w:spacing w:before="120" w:after="120" w:line="252" w:lineRule="auto"/>
            </w:pPr>
            <w:r>
              <w:rPr>
                <w:b w:val="0"/>
                <w:sz w:val="20"/>
              </w:rPr>
              <w:t>6 December 2026</w:t>
            </w:r>
          </w:p>
        </w:tc>
        <w:tc>
          <w:tcPr>
            <w:tcW w:type="dxa" w:w="4320"/>
            <w:tcBorders>
              <w:bottom w:val="single" w:sz="5" w:color="D4DBD8"/>
            </w:tcBorders>
          </w:tcPr>
          <w:p>
            <w:pPr>
              <w:spacing w:before="120" w:after="120" w:line="252" w:lineRule="auto"/>
            </w:pPr>
            <w:r>
              <w:rPr>
                <w:b w:val="0"/>
                <w:sz w:val="20"/>
              </w:rPr>
              <w:t>Other customer collection</w:t>
            </w:r>
          </w:p>
        </w:tc>
        <w:tc>
          <w:tcPr>
            <w:tcW w:type="dxa" w:w="1224"/>
            <w:tcBorders>
              <w:bottom w:val="single" w:sz="5" w:color="D4DBD8"/>
            </w:tcBorders>
          </w:tcPr>
          <w:p>
            <w:pPr>
              <w:spacing w:before="120" w:after="120" w:line="252" w:lineRule="auto"/>
            </w:pPr>
            <w:r>
              <w:rPr>
                <w:b w:val="0"/>
                <w:sz w:val="20"/>
              </w:rPr>
              <w:t>inflow</w:t>
            </w:r>
          </w:p>
        </w:tc>
        <w:tc>
          <w:tcPr>
            <w:tcW w:type="dxa" w:w="2448"/>
            <w:tcBorders>
              <w:bottom w:val="single" w:sz="5" w:color="D4DBD8"/>
            </w:tcBorders>
          </w:tcPr>
          <w:p>
            <w:pPr>
              <w:spacing w:before="120" w:after="120" w:line="252" w:lineRule="auto"/>
              <w:jc w:val="right"/>
            </w:pPr>
            <w:r>
              <w:rPr>
                <w:b w:val="0"/>
                <w:sz w:val="20"/>
              </w:rPr>
              <w:t>65,000</w:t>
            </w:r>
          </w:p>
        </w:tc>
      </w:tr>
    </w:tbl>
    <w:p>
      <w:pPr>
        <w:spacing w:after="0"/>
      </w:pPr>
    </w:p>
    <w:p>
      <w:pPr>
        <w:pStyle w:val="Heading1"/>
      </w:pPr>
      <w:r>
        <w:t>Planning assumptions</w:t>
      </w:r>
    </w:p>
    <w:p>
      <w:r>
        <w:t>The original USD 12,000 buyer balance maps to CNY 80,000 net proceeds. Partial receipts use the same proportion, with collection and conversion available on the scheduled date. This is the fixed scenario assumption for this case.</w:t>
      </w:r>
    </w:p>
    <w:p>
      <w:r>
        <w:t>Later customer collections remain forecasts at the dates above. The minimum CNY reserve is zero; any projected negative balance requires a payment or collection action.</w:t>
      </w:r>
    </w:p>
    <w:p>
      <w:r>
        <w:rPr>
          <w:b/>
        </w:rPr>
        <w:t xml:space="preserve">Prepared by: </w:t>
      </w:r>
      <w:r>
        <w:t>Leo Lin, Finance Coordinator</w:t>
      </w:r>
    </w:p>
    <w:p>
      <w:r>
        <w:rPr>
          <w:b/>
        </w:rPr>
        <w:t xml:space="preserve">Reviewed by: </w:t>
      </w:r>
      <w:r>
        <w:t>Mia Chen, Owner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CashWeave demonstration  |  Fictional business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30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Cash Schedule</dc:title>
  <dc:subject/>
  <dc:creator>CashWeave</dc:creator>
  <cp:keywords/>
  <dc:description>generated by python-docx</dc:description>
  <cp:lastModifiedBy/>
  <cp:revision>1</cp:revision>
  <dcterms:created xsi:type="dcterms:W3CDTF">2013-12-23T23:15:00Z</dcterms:created>
  <dcterms:modified xsi:type="dcterms:W3CDTF">2013-12-23T23:15:00Z</dcterms:modified>
  <cp:category/>
</cp:coreProperties>
</file>