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sz w:val="24"/>
        </w:rPr>
        <w:t>STARSAIL EXPORTS</w:t>
      </w:r>
    </w:p>
    <w:p>
      <w:r>
        <w:rPr>
          <w:color w:val="666666"/>
          <w:sz w:val="18"/>
        </w:rPr>
        <w:t>Shenzhen, China  |  Finance and Operations</w:t>
      </w:r>
    </w:p>
    <w:p>
      <w:pPr>
        <w:pStyle w:val="Title"/>
      </w:pPr>
      <w:r>
        <w:t>Sales Order and Receivable</w:t>
      </w:r>
    </w:p>
    <w:p>
      <w:r>
        <w:rPr>
          <w:sz w:val="20"/>
        </w:rPr>
        <w:t>SO TF 26104  |  Revision 01  |  As of 17 October 2026</w:t>
      </w:r>
    </w:p>
    <w:p>
      <w:r>
        <w:t>Order and receivable summary for the Harbour Supplies stationery shipment, including the original balance collection plan.</w:t>
      </w:r>
    </w:p>
    <w:p>
      <w:r>
        <w:rPr>
          <w:b/>
        </w:rPr>
        <w:t xml:space="preserve">Order: </w:t>
      </w:r>
      <w:r>
        <w:t>TF-26104</w:t>
      </w:r>
    </w:p>
    <w:p>
      <w:r>
        <w:rPr>
          <w:b/>
        </w:rPr>
        <w:t xml:space="preserve">Seller: </w:t>
      </w:r>
      <w:r>
        <w:t>StarSail Exports, Shenzhen, China</w:t>
      </w:r>
    </w:p>
    <w:p>
      <w:r>
        <w:rPr>
          <w:b/>
        </w:rPr>
        <w:t xml:space="preserve">Buyer: </w:t>
      </w:r>
      <w:r>
        <w:t>Harbour Supplies, United Kingdom</w:t>
      </w:r>
    </w:p>
    <w:p>
      <w:pPr>
        <w:pStyle w:val="Heading1"/>
      </w:pPr>
      <w:r>
        <w:t>Order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2160"/>
        <w:gridCol w:w="2880"/>
      </w:tblGrid>
      <w:tr>
        <w:trPr>
          <w:cantSplit/>
          <w:tblHeader/>
        </w:trPr>
        <w:tc>
          <w:tcPr>
            <w:tcW w:type="dxa" w:w="5040"/>
            <w:tcBorders>
              <w:bottom w:val="single" w:sz="5" w:color="D4DBD8"/>
            </w:tcBorders>
            <w:shd w:fill="EDF1EF"/>
          </w:tcPr>
          <w:p>
            <w:pPr>
              <w:spacing w:before="120" w:after="120" w:line="252" w:lineRule="auto"/>
            </w:pPr>
            <w:r>
              <w:rPr>
                <w:b/>
                <w:sz w:val="20"/>
              </w:rPr>
              <w:t>Goods</w:t>
            </w:r>
          </w:p>
        </w:tc>
        <w:tc>
          <w:tcPr>
            <w:tcW w:type="dxa" w:w="2160"/>
            <w:tcBorders>
              <w:bottom w:val="single" w:sz="5" w:color="D4DBD8"/>
            </w:tcBorders>
            <w:shd w:fill="EDF1EF"/>
          </w:tcPr>
          <w:p>
            <w:pPr>
              <w:spacing w:before="120" w:after="120" w:line="252" w:lineRule="auto"/>
              <w:jc w:val="right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bottom w:val="single" w:sz="5" w:color="D4DBD8"/>
            </w:tcBorders>
            <w:shd w:fill="EDF1EF"/>
          </w:tcPr>
          <w:p>
            <w:pPr>
              <w:spacing w:before="120" w:after="120" w:line="252" w:lineRule="auto"/>
              <w:jc w:val="right"/>
            </w:pPr>
            <w:r>
              <w:rPr>
                <w:b/>
                <w:sz w:val="20"/>
              </w:rPr>
              <w:t>Order value</w:t>
            </w:r>
          </w:p>
        </w:tc>
      </w:tr>
      <w:tr>
        <w:trPr>
          <w:cantSplit/>
        </w:trPr>
        <w:tc>
          <w:tcPr>
            <w:tcW w:type="dxa" w:w="5040"/>
            <w:tcBorders>
              <w:bottom w:val="single" w:sz="5" w:color="D4DBD8"/>
            </w:tcBorders>
          </w:tcPr>
          <w:p>
            <w:pPr>
              <w:spacing w:before="120" w:after="120" w:line="252" w:lineRule="auto"/>
            </w:pPr>
            <w:r>
              <w:rPr>
                <w:b w:val="0"/>
                <w:sz w:val="20"/>
              </w:rPr>
              <w:t>Stationery sets</w:t>
            </w:r>
          </w:p>
        </w:tc>
        <w:tc>
          <w:tcPr>
            <w:tcW w:type="dxa" w:w="2160"/>
            <w:tcBorders>
              <w:bottom w:val="single" w:sz="5" w:color="D4DBD8"/>
            </w:tcBorders>
          </w:tcPr>
          <w:p>
            <w:pPr>
              <w:spacing w:before="120" w:after="120" w:line="252" w:lineRule="auto"/>
              <w:jc w:val="right"/>
            </w:pPr>
            <w:r>
              <w:rPr>
                <w:b w:val="0"/>
                <w:sz w:val="20"/>
              </w:rPr>
              <w:t>10,000 sets</w:t>
            </w:r>
          </w:p>
        </w:tc>
        <w:tc>
          <w:tcPr>
            <w:tcW w:type="dxa" w:w="2880"/>
            <w:tcBorders>
              <w:bottom w:val="single" w:sz="5" w:color="D4DBD8"/>
            </w:tcBorders>
          </w:tcPr>
          <w:p>
            <w:pPr>
              <w:spacing w:before="120" w:after="120" w:line="252" w:lineRule="auto"/>
              <w:jc w:val="right"/>
            </w:pPr>
            <w:r>
              <w:rPr>
                <w:b w:val="0"/>
                <w:sz w:val="20"/>
              </w:rPr>
              <w:t>USD 40,000</w:t>
            </w:r>
          </w:p>
        </w:tc>
      </w:tr>
    </w:tbl>
    <w:p>
      <w:pPr>
        <w:spacing w:after="0"/>
      </w:pPr>
    </w:p>
    <w:p>
      <w:pPr>
        <w:pStyle w:val="Heading1"/>
      </w:pPr>
      <w:r>
        <w:t>Settlement position</w:t>
      </w:r>
    </w:p>
    <w:p>
      <w:r>
        <w:rPr>
          <w:b/>
        </w:rPr>
        <w:t xml:space="preserve">Previously received deposit: </w:t>
      </w:r>
      <w:r>
        <w:t>USD 28,000</w:t>
      </w:r>
    </w:p>
    <w:p>
      <w:r>
        <w:rPr>
          <w:b/>
        </w:rPr>
        <w:t xml:space="preserve">Outstanding balance: </w:t>
      </w:r>
      <w:r>
        <w:t>USD 12,000</w:t>
      </w:r>
    </w:p>
    <w:p>
      <w:r>
        <w:t>The received deposit is already reflected in the opening financial position. The outstanding balance remains due from the buyer.</w:t>
      </w:r>
    </w:p>
    <w:p>
      <w:r>
        <w:rPr>
          <w:b/>
        </w:rPr>
        <w:t xml:space="preserve">Original planned balance settlement and CNY availability: </w:t>
      </w:r>
      <w:r>
        <w:t>29 October 2026.</w:t>
      </w:r>
    </w:p>
    <w:p>
      <w:pPr>
        <w:pStyle w:val="Heading1"/>
      </w:pPr>
      <w:r>
        <w:t>Fulfilment and collection status</w:t>
      </w:r>
    </w:p>
    <w:p>
      <w:r>
        <w:t>The goods are in preparation. The buyer’s pre-shipment quality review remains open for some items. The original cash plan assumes collection of the full outstanding balance on the date above.</w:t>
      </w:r>
    </w:p>
    <w:p>
      <w:r>
        <w:t>Any partial-payment arrangement must identify the installment amount and payment date in buyer correspondence and be reviewed by finance before the collection plan is updated.</w:t>
      </w:r>
    </w:p>
    <w:p>
      <w:r>
        <w:rPr>
          <w:b/>
        </w:rPr>
        <w:t xml:space="preserve">Finance contact: </w:t>
      </w:r>
      <w:r>
        <w:t>Leo Lin, Finance Coordinator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>CashWeave demonstration  |  Fictional business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3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and Receivable</dc:title>
  <dc:subject/>
  <dc:creator>CashWeave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