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Calibri" w:cs="Calibri" w:eastAsia="Calibri" w:hAnsi="Calibri"/>
          <w:b/>
          <w:bCs/>
          <w:color w:val="1F3864"/>
          <w:sz w:val="56"/>
          <w:szCs w:val="56"/>
        </w:rPr>
        <w:t xml:space="preserve">IT-RAG</w:t>
      </w:r>
    </w:p>
    <w:p>
      <w:pPr>
        <w:spacing w:after="120"/>
      </w:pPr>
      <w:r>
        <w:rPr>
          <w:rFonts w:ascii="Calibri" w:cs="Calibri" w:eastAsia="Calibri" w:hAnsi="Calibri"/>
          <w:color w:val="2E5597"/>
          <w:sz w:val="30"/>
          <w:szCs w:val="30"/>
        </w:rPr>
        <w:t xml:space="preserve">Local, Offline RAG Assistant for Confidential IT Policy</w:t>
      </w:r>
    </w:p>
    <w:p>
      <w:pPr>
        <w:pBdr>
          <w:bottom w:val="single" w:color="2E5597" w:sz="8" w:space="4"/>
        </w:pBdr>
        <w:spacing w:after="240"/>
      </w:pPr>
    </w:p>
    <w:p>
      <w:pPr>
        <w:spacing w:after="120"/>
      </w:pPr>
      <w:r>
        <w:rPr>
          <w:rFonts w:ascii="Calibri" w:cs="Calibri" w:eastAsia="Calibri" w:hAnsi="Calibri"/>
          <w:i/>
          <w:iCs/>
          <w:sz w:val="22"/>
          <w:szCs w:val="22"/>
        </w:rPr>
        <w:t xml:space="preserve">Project documentation: purpose, architecture, deployment, issues faced, and next steps</w:t>
      </w:r>
    </w:p>
    <w:p>
      <w:pPr>
        <w:spacing w:after="120"/>
      </w:pPr>
      <w:r>
        <w:rPr>
          <w:rFonts w:ascii="Calibri" w:cs="Calibri" w:eastAsia="Calibri" w:hAnsi="Calibri"/>
          <w:b/>
          <w:bCs/>
          <w:sz w:val="22"/>
          <w:szCs w:val="22"/>
        </w:rPr>
        <w:t xml:space="preserve">Author: </w:t>
      </w:r>
      <w:r>
        <w:rPr>
          <w:rFonts w:ascii="Calibri" w:cs="Calibri" w:eastAsia="Calibri" w:hAnsi="Calibri"/>
          <w:sz w:val="22"/>
          <w:szCs w:val="22"/>
        </w:rPr>
        <w:t xml:space="preserve">Abdulsalam Algarwi (Zero), IT &amp; Software Development, Soudah Development Company</w:t>
      </w:r>
    </w:p>
    <w:p>
      <w:pPr>
        <w:spacing w:after="120"/>
      </w:pPr>
      <w:r>
        <w:rPr>
          <w:rFonts w:ascii="Calibri" w:cs="Calibri" w:eastAsia="Calibri" w:hAnsi="Calibri"/>
          <w:b/>
          <w:bCs/>
          <w:sz w:val="22"/>
          <w:szCs w:val="22"/>
        </w:rPr>
        <w:t xml:space="preserve">Date: </w:t>
      </w:r>
      <w:r>
        <w:rPr>
          <w:rFonts w:ascii="Calibri" w:cs="Calibri" w:eastAsia="Calibri" w:hAnsi="Calibri"/>
          <w:sz w:val="22"/>
          <w:szCs w:val="22"/>
        </w:rPr>
        <w:t xml:space="preserve">September 2026</w:t>
      </w:r>
    </w:p>
    <w:p>
      <w:pPr>
        <w:spacing w:after="120"/>
      </w:pPr>
      <w:r>
        <w:rPr>
          <w:rFonts w:ascii="Calibri" w:cs="Calibri" w:eastAsia="Calibri" w:hAnsi="Calibri"/>
          <w:b/>
          <w:bCs/>
          <w:sz w:val="22"/>
          <w:szCs w:val="22"/>
        </w:rPr>
        <w:t xml:space="preserve">Classification: </w:t>
      </w:r>
      <w:r>
        <w:rPr>
          <w:rFonts w:ascii="Calibri" w:cs="Calibri" w:eastAsia="Calibri" w:hAnsi="Calibri"/>
          <w:sz w:val="22"/>
          <w:szCs w:val="22"/>
        </w:rPr>
        <w:t xml:space="preserve">Internal. This document contains no policy content.</w:t>
      </w:r>
    </w:p>
    <w:p>
      <w:pPr>
        <w:pStyle w:val="Heading1"/>
        <w:spacing w:after="140" w:before="320"/>
      </w:pPr>
      <w:r>
        <w:rPr>
          <w:rFonts w:ascii="Calibri" w:cs="Calibri" w:eastAsia="Calibri" w:hAnsi="Calibri"/>
          <w:b/>
          <w:bCs/>
          <w:color w:val="1F3864"/>
          <w:sz w:val="30"/>
          <w:szCs w:val="30"/>
        </w:rPr>
        <w:t xml:space="preserve">1. Overview</w:t>
      </w:r>
    </w:p>
    <w:p>
      <w:pPr>
        <w:spacing w:after="120"/>
      </w:pPr>
      <w:r>
        <w:rPr>
          <w:rFonts w:ascii="Calibri" w:cs="Calibri" w:eastAsia="Calibri" w:hAnsi="Calibri"/>
          <w:sz w:val="22"/>
          <w:szCs w:val="22"/>
        </w:rPr>
        <w:t xml:space="preserve">IT-RAG is a Retrieval-Augmented Generation (RAG) chatbot that lets staff ask plain-language questions about the company's IT policy and get answers grounded in the source document. The project was assigned by management. A director later asked to widen the scope to cover user manuals and common support cases.</w:t>
      </w:r>
    </w:p>
    <w:p>
      <w:pPr>
        <w:pStyle w:val="Heading2"/>
        <w:spacing w:after="100" w:before="220"/>
      </w:pPr>
      <w:r>
        <w:rPr>
          <w:rFonts w:ascii="Calibri" w:cs="Calibri" w:eastAsia="Calibri" w:hAnsi="Calibri"/>
          <w:b/>
          <w:bCs/>
          <w:color w:val="2E5597"/>
          <w:sz w:val="25"/>
          <w:szCs w:val="25"/>
        </w:rPr>
        <w:t xml:space="preserve">1.1 Defining constraint: confidentiality</w:t>
      </w:r>
    </w:p>
    <w:p>
      <w:pPr>
        <w:spacing w:after="120"/>
      </w:pPr>
      <w:r>
        <w:rPr>
          <w:rFonts w:ascii="Calibri" w:cs="Calibri" w:eastAsia="Calibri" w:hAnsi="Calibri"/>
          <w:sz w:val="22"/>
          <w:szCs w:val="22"/>
        </w:rPr>
        <w:t xml:space="preserve">The IT policy is confidential, so no document content may leave the local environment. That rules out cloud LLM APIs, hosted embedding services and managed vector databases. Every stage of the pipeline runs on-device, from extraction through embedding, retrieval and generation.</w:t>
      </w:r>
    </w:p>
    <w:p>
      <w:pPr>
        <w:pStyle w:val="Heading2"/>
        <w:spacing w:after="100" w:before="220"/>
      </w:pPr>
      <w:r>
        <w:rPr>
          <w:rFonts w:ascii="Calibri" w:cs="Calibri" w:eastAsia="Calibri" w:hAnsi="Calibri"/>
          <w:b/>
          <w:bCs/>
          <w:color w:val="2E5597"/>
          <w:sz w:val="25"/>
          <w:szCs w:val="25"/>
        </w:rPr>
        <w:t xml:space="preserve">1.2 Success criteria</w:t>
      </w:r>
    </w:p>
    <w:p>
      <w:pPr>
        <w:pStyle w:val="ListParagraph"/>
        <w:numPr>
          <w:ilvl w:val="0"/>
          <w:numId w:val="2"/>
        </w:numPr>
        <w:spacing w:after="60"/>
      </w:pPr>
      <w:r>
        <w:rPr>
          <w:rFonts w:ascii="Calibri" w:cs="Calibri" w:eastAsia="Calibri" w:hAnsi="Calibri"/>
          <w:sz w:val="22"/>
          <w:szCs w:val="22"/>
        </w:rPr>
        <w:t xml:space="preserve">A working chat interface that answers policy questions from the actual document.</w:t>
      </w:r>
    </w:p>
    <w:p>
      <w:pPr>
        <w:pStyle w:val="ListParagraph"/>
        <w:numPr>
          <w:ilvl w:val="0"/>
          <w:numId w:val="2"/>
        </w:numPr>
        <w:spacing w:after="60"/>
      </w:pPr>
      <w:r>
        <w:rPr>
          <w:rFonts w:ascii="Calibri" w:cs="Calibri" w:eastAsia="Calibri" w:hAnsi="Calibri"/>
          <w:sz w:val="22"/>
          <w:szCs w:val="22"/>
        </w:rPr>
        <w:t xml:space="preserve">Runs entirely offline on a Windows laptop, with no external API calls.</w:t>
      </w:r>
    </w:p>
    <w:p>
      <w:pPr>
        <w:pStyle w:val="ListParagraph"/>
        <w:numPr>
          <w:ilvl w:val="0"/>
          <w:numId w:val="2"/>
        </w:numPr>
        <w:spacing w:after="60"/>
      </w:pPr>
      <w:r>
        <w:rPr>
          <w:rFonts w:ascii="Calibri" w:cs="Calibri" w:eastAsia="Calibri" w:hAnsi="Calibri"/>
          <w:sz w:val="22"/>
          <w:szCs w:val="22"/>
        </w:rPr>
        <w:t xml:space="preserve">Containerised with Docker so it can be started reliably and reached from the local network.</w:t>
      </w:r>
    </w:p>
    <w:p>
      <w:pPr>
        <w:pStyle w:val="ListParagraph"/>
        <w:numPr>
          <w:ilvl w:val="0"/>
          <w:numId w:val="2"/>
        </w:numPr>
        <w:spacing w:after="60"/>
      </w:pPr>
      <w:r>
        <w:rPr>
          <w:rFonts w:ascii="Calibri" w:cs="Calibri" w:eastAsia="Calibri" w:hAnsi="Calibri"/>
          <w:sz w:val="22"/>
          <w:szCs w:val="22"/>
        </w:rPr>
        <w:t xml:space="preserve">The confidential document is never baked into images or committed to source control.</w:t>
      </w:r>
    </w:p>
    <w:p>
      <w:pPr>
        <w:pStyle w:val="Heading1"/>
        <w:spacing w:after="140" w:before="320"/>
      </w:pPr>
      <w:r>
        <w:rPr>
          <w:rFonts w:ascii="Calibri" w:cs="Calibri" w:eastAsia="Calibri" w:hAnsi="Calibri"/>
          <w:b/>
          <w:bCs/>
          <w:color w:val="1F3864"/>
          <w:sz w:val="30"/>
          <w:szCs w:val="30"/>
        </w:rPr>
        <w:t xml:space="preserve">2. Architecture</w:t>
      </w:r>
    </w:p>
    <w:p>
      <w:pPr>
        <w:spacing w:after="120"/>
      </w:pPr>
      <w:r>
        <w:rPr>
          <w:rFonts w:ascii="Calibri" w:cs="Calibri" w:eastAsia="Calibri" w:hAnsi="Calibri"/>
          <w:sz w:val="22"/>
          <w:szCs w:val="22"/>
        </w:rPr>
        <w:t xml:space="preserve">The system follows a standard two-phase RAG design: an ingestion phase that turns the document into searchable vectors, and a query phase that retrieves relevant chunks and passes them to a local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Layer</w:t>
            </w:r>
          </w:p>
        </w:tc>
        <w:tc>
          <w:tcPr>
            <w:tcW w:type="dxa" w:w="3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Technology</w:t>
            </w:r>
          </w:p>
        </w:tc>
        <w:tc>
          <w:tcPr>
            <w:tcW w:type="dxa" w:w="41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Role</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Text extraction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PDF text layer + OCR fallback (pytesseract, pdf2image / Poppler)</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Reads the policy PDF. If a page has no usable text layer, it is rasterised and OCR'd with Tesseract.</w:t>
            </w:r>
          </w:p>
        </w:tc>
      </w:tr>
      <w:tr>
        <w:trPr>
          <w:tblHeader w:val="false"/>
        </w:trPr>
        <w:tc>
          <w:tcPr>
            <w:tcW w:type="dxa" w:w="2200"/>
            <w:tcBorders>
              <w:top w:val="single" w:color="BFBFBF" w:sz="4"/>
              <w:left w:val="single" w:color="BFBFBF" w:sz="4"/>
              <w:bottom w:val="single" w:color="BFBFBF" w:sz="4"/>
              <w:right w:val="single" w:color="BFBFBF" w:sz="4"/>
            </w:tcBorders>
            <w:shd w:fill="F3F6FB"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Preprocessing</w:t>
            </w:r>
          </w:p>
        </w:tc>
        <w:tc>
          <w:tcPr>
            <w:tcW w:type="dxa" w:w="3000"/>
            <w:tcBorders>
              <w:top w:val="single" w:color="BFBFBF" w:sz="4"/>
              <w:left w:val="single" w:color="BFBFBF" w:sz="4"/>
              <w:bottom w:val="single" w:color="BFBFBF" w:sz="4"/>
              <w:right w:val="single" w:color="BFBFBF" w:sz="4"/>
            </w:tcBorders>
            <w:shd w:fill="F3F6FB"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preprocessing.py (regex-based cleaning)</w:t>
            </w:r>
          </w:p>
        </w:tc>
        <w:tc>
          <w:tcPr>
            <w:tcW w:type="dxa" w:w="4160"/>
            <w:tcBorders>
              <w:top w:val="single" w:color="BFBFBF" w:sz="4"/>
              <w:left w:val="single" w:color="BFBFBF" w:sz="4"/>
              <w:bottom w:val="single" w:color="BFBFBF" w:sz="4"/>
              <w:right w:val="single" w:color="BFBFBF" w:sz="4"/>
            </w:tcBorders>
            <w:shd w:fill="F3F6FB"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Strips noise such as headers, footers, page numbers and table-of-contents lines before chunking.</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Chunking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Paragraph-aware splitter</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Splits text on paragraph boundaries so each chunk holds a coherent policy clause.</w:t>
            </w:r>
          </w:p>
        </w:tc>
      </w:tr>
      <w:tr>
        <w:trPr>
          <w:tblHeader w:val="false"/>
        </w:trPr>
        <w:tc>
          <w:tcPr>
            <w:tcW w:type="dxa" w:w="2200"/>
            <w:tcBorders>
              <w:top w:val="single" w:color="BFBFBF" w:sz="4"/>
              <w:left w:val="single" w:color="BFBFBF" w:sz="4"/>
              <w:bottom w:val="single" w:color="BFBFBF" w:sz="4"/>
              <w:right w:val="single" w:color="BFBFBF" w:sz="4"/>
            </w:tcBorders>
            <w:shd w:fill="F3F6FB"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Embeddings</w:t>
            </w:r>
          </w:p>
        </w:tc>
        <w:tc>
          <w:tcPr>
            <w:tcW w:type="dxa" w:w="3000"/>
            <w:tcBorders>
              <w:top w:val="single" w:color="BFBFBF" w:sz="4"/>
              <w:left w:val="single" w:color="BFBFBF" w:sz="4"/>
              <w:bottom w:val="single" w:color="BFBFBF" w:sz="4"/>
              <w:right w:val="single" w:color="BFBFBF" w:sz="4"/>
            </w:tcBorders>
            <w:shd w:fill="F3F6FB"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sentence-transformers, all-MiniLM-L6-v2</w:t>
            </w:r>
          </w:p>
        </w:tc>
        <w:tc>
          <w:tcPr>
            <w:tcW w:type="dxa" w:w="4160"/>
            <w:tcBorders>
              <w:top w:val="single" w:color="BFBFBF" w:sz="4"/>
              <w:left w:val="single" w:color="BFBFBF" w:sz="4"/>
              <w:bottom w:val="single" w:color="BFBFBF" w:sz="4"/>
              <w:right w:val="single" w:color="BFBFBF" w:sz="4"/>
            </w:tcBorders>
            <w:shd w:fill="F3F6FB"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Encodes chunks and queries into 384-dimensional vectors locally, CPU-only.</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Vector store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ChromaDB (persistent)</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Stores the chunk vectors and metadata and serves the similarity search.</w:t>
            </w:r>
          </w:p>
        </w:tc>
      </w:tr>
      <w:tr>
        <w:trPr>
          <w:tblHeader w:val="false"/>
        </w:trPr>
        <w:tc>
          <w:tcPr>
            <w:tcW w:type="dxa" w:w="2200"/>
            <w:tcBorders>
              <w:top w:val="single" w:color="BFBFBF" w:sz="4"/>
              <w:left w:val="single" w:color="BFBFBF" w:sz="4"/>
              <w:bottom w:val="single" w:color="BFBFBF" w:sz="4"/>
              <w:right w:val="single" w:color="BFBFBF" w:sz="4"/>
            </w:tcBorders>
            <w:shd w:fill="F3F6FB"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Generation</w:t>
            </w:r>
          </w:p>
        </w:tc>
        <w:tc>
          <w:tcPr>
            <w:tcW w:type="dxa" w:w="3000"/>
            <w:tcBorders>
              <w:top w:val="single" w:color="BFBFBF" w:sz="4"/>
              <w:left w:val="single" w:color="BFBFBF" w:sz="4"/>
              <w:bottom w:val="single" w:color="BFBFBF" w:sz="4"/>
              <w:right w:val="single" w:color="BFBFBF" w:sz="4"/>
            </w:tcBorders>
            <w:shd w:fill="F3F6FB"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Ollama, llama3.2:3b</w:t>
            </w:r>
          </w:p>
        </w:tc>
        <w:tc>
          <w:tcPr>
            <w:tcW w:type="dxa" w:w="4160"/>
            <w:tcBorders>
              <w:top w:val="single" w:color="BFBFBF" w:sz="4"/>
              <w:left w:val="single" w:color="BFBFBF" w:sz="4"/>
              <w:bottom w:val="single" w:color="BFBFBF" w:sz="4"/>
              <w:right w:val="single" w:color="BFBFBF" w:sz="4"/>
            </w:tcBorders>
            <w:shd w:fill="F3F6FB"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Local LLM that writes the answer from the retrieved context. Earlier builds used llama3.1:8b.</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Interface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Streamlit</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Chat UI for asking questions and reading answers.</w:t>
            </w:r>
          </w:p>
        </w:tc>
      </w:tr>
      <w:tr>
        <w:trPr>
          <w:tblHeader w:val="false"/>
        </w:trPr>
        <w:tc>
          <w:tcPr>
            <w:tcW w:type="dxa" w:w="2200"/>
            <w:tcBorders>
              <w:top w:val="single" w:color="BFBFBF" w:sz="4"/>
              <w:left w:val="single" w:color="BFBFBF" w:sz="4"/>
              <w:bottom w:val="single" w:color="BFBFBF" w:sz="4"/>
              <w:right w:val="single" w:color="BFBFBF" w:sz="4"/>
            </w:tcBorders>
            <w:shd w:fill="F3F6FB"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Packaging</w:t>
            </w:r>
          </w:p>
        </w:tc>
        <w:tc>
          <w:tcPr>
            <w:tcW w:type="dxa" w:w="3000"/>
            <w:tcBorders>
              <w:top w:val="single" w:color="BFBFBF" w:sz="4"/>
              <w:left w:val="single" w:color="BFBFBF" w:sz="4"/>
              <w:bottom w:val="single" w:color="BFBFBF" w:sz="4"/>
              <w:right w:val="single" w:color="BFBFBF" w:sz="4"/>
            </w:tcBorders>
            <w:shd w:fill="F3F6FB"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Docker, docker-compose (2 containers)</w:t>
            </w:r>
          </w:p>
        </w:tc>
        <w:tc>
          <w:tcPr>
            <w:tcW w:type="dxa" w:w="4160"/>
            <w:tcBorders>
              <w:top w:val="single" w:color="BFBFBF" w:sz="4"/>
              <w:left w:val="single" w:color="BFBFBF" w:sz="4"/>
              <w:bottom w:val="single" w:color="BFBFBF" w:sz="4"/>
              <w:right w:val="single" w:color="BFBFBF" w:sz="4"/>
            </w:tcBorders>
            <w:shd w:fill="F3F6FB"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App container plus Ollama container, exposed on the LAN.</w:t>
            </w:r>
          </w:p>
        </w:tc>
      </w:tr>
    </w:tbl>
    <w:p>
      <w:pPr>
        <w:pStyle w:val="Heading2"/>
        <w:spacing w:after="100" w:before="220"/>
      </w:pPr>
      <w:r>
        <w:rPr>
          <w:rFonts w:ascii="Calibri" w:cs="Calibri" w:eastAsia="Calibri" w:hAnsi="Calibri"/>
          <w:b/>
          <w:bCs/>
          <w:color w:val="2E5597"/>
          <w:sz w:val="25"/>
          <w:szCs w:val="25"/>
        </w:rPr>
        <w:t xml:space="preserve">2.1 Data flow</w:t>
      </w:r>
    </w:p>
    <w:p>
      <w:pPr>
        <w:pStyle w:val="ListParagraph"/>
        <w:numPr>
          <w:ilvl w:val="0"/>
          <w:numId w:val="3"/>
        </w:numPr>
        <w:spacing w:after="60"/>
      </w:pPr>
      <w:r>
        <w:rPr>
          <w:rFonts w:ascii="Calibri" w:cs="Calibri" w:eastAsia="Calibri" w:hAnsi="Calibri"/>
          <w:sz w:val="22"/>
          <w:szCs w:val="22"/>
        </w:rPr>
        <w:t xml:space="preserve">Ingestion: the PDF is loaded, text is extracted (with OCR fallback), cleaned, chunked, embedded and written to ChromaDB.</w:t>
      </w:r>
    </w:p>
    <w:p>
      <w:pPr>
        <w:pStyle w:val="ListParagraph"/>
        <w:numPr>
          <w:ilvl w:val="0"/>
          <w:numId w:val="3"/>
        </w:numPr>
        <w:spacing w:after="60"/>
      </w:pPr>
      <w:r>
        <w:rPr>
          <w:rFonts w:ascii="Calibri" w:cs="Calibri" w:eastAsia="Calibri" w:hAnsi="Calibri"/>
          <w:sz w:val="22"/>
          <w:szCs w:val="22"/>
        </w:rPr>
        <w:t xml:space="preserve">Query: the user's question is embedded with the same MiniLM model.</w:t>
      </w:r>
    </w:p>
    <w:p>
      <w:pPr>
        <w:pStyle w:val="ListParagraph"/>
        <w:numPr>
          <w:ilvl w:val="0"/>
          <w:numId w:val="3"/>
        </w:numPr>
        <w:spacing w:after="60"/>
      </w:pPr>
      <w:r>
        <w:rPr>
          <w:rFonts w:ascii="Calibri" w:cs="Calibri" w:eastAsia="Calibri" w:hAnsi="Calibri"/>
          <w:sz w:val="22"/>
          <w:szCs w:val="22"/>
        </w:rPr>
        <w:t xml:space="preserve">Retrieval: ChromaDB returns the top-k most similar chunks.</w:t>
      </w:r>
    </w:p>
    <w:p>
      <w:pPr>
        <w:pStyle w:val="ListParagraph"/>
        <w:numPr>
          <w:ilvl w:val="0"/>
          <w:numId w:val="3"/>
        </w:numPr>
        <w:spacing w:after="60"/>
      </w:pPr>
      <w:r>
        <w:rPr>
          <w:rFonts w:ascii="Calibri" w:cs="Calibri" w:eastAsia="Calibri" w:hAnsi="Calibri"/>
          <w:sz w:val="22"/>
          <w:szCs w:val="22"/>
        </w:rPr>
        <w:t xml:space="preserve">Prompting: the retrieved chunks are placed into a grounded prompt that tells the model to answer only from the context.</w:t>
      </w:r>
    </w:p>
    <w:p>
      <w:pPr>
        <w:pStyle w:val="ListParagraph"/>
        <w:numPr>
          <w:ilvl w:val="0"/>
          <w:numId w:val="3"/>
        </w:numPr>
        <w:spacing w:after="60"/>
      </w:pPr>
      <w:r>
        <w:rPr>
          <w:rFonts w:ascii="Calibri" w:cs="Calibri" w:eastAsia="Calibri" w:hAnsi="Calibri"/>
          <w:sz w:val="22"/>
          <w:szCs w:val="22"/>
        </w:rPr>
        <w:t xml:space="preserve">Generation: Ollama (llama3.2:3b) produces the answer, which Streamlit shows in the chat.</w:t>
      </w:r>
    </w:p>
    <w:p>
      <w:pPr>
        <w:spacing w:after="120"/>
      </w:pPr>
      <w:r>
        <w:rPr>
          <w:rFonts w:ascii="Calibri" w:cs="Calibri" w:eastAsia="Calibri" w:hAnsi="Calibri"/>
          <w:b/>
          <w:bCs/>
          <w:sz w:val="22"/>
          <w:szCs w:val="22"/>
        </w:rPr>
        <w:t xml:space="preserve">Code convention: </w:t>
      </w:r>
      <w:r>
        <w:rPr>
          <w:rFonts w:ascii="Calibri" w:cs="Calibri" w:eastAsia="Calibri" w:hAnsi="Calibri"/>
          <w:sz w:val="22"/>
          <w:szCs w:val="22"/>
        </w:rPr>
        <w:t xml:space="preserve">the core query function is named </w:t>
      </w:r>
      <w:r>
        <w:rPr>
          <w:rFonts w:ascii="Consolas" w:cs="Consolas" w:eastAsia="Consolas" w:hAnsi="Consolas"/>
          <w:sz w:val="20"/>
          <w:szCs w:val="20"/>
        </w:rPr>
        <w:t xml:space="preserve">anwser_question</w:t>
      </w:r>
      <w:r>
        <w:rPr>
          <w:rFonts w:ascii="Calibri" w:cs="Calibri" w:eastAsia="Calibri" w:hAnsi="Calibri"/>
          <w:sz w:val="22"/>
          <w:szCs w:val="22"/>
        </w:rPr>
        <w:t xml:space="preserve"> and that spelling is used consistently across the codebase. Do not "correct" it in one place only.</w:t>
      </w:r>
    </w:p>
    <w:p>
      <w:pPr>
        <w:pStyle w:val="Heading1"/>
        <w:spacing w:after="140" w:before="320"/>
      </w:pPr>
      <w:r>
        <w:rPr>
          <w:rFonts w:ascii="Calibri" w:cs="Calibri" w:eastAsia="Calibri" w:hAnsi="Calibri"/>
          <w:b/>
          <w:bCs/>
          <w:color w:val="1F3864"/>
          <w:sz w:val="30"/>
          <w:szCs w:val="30"/>
        </w:rPr>
        <w:t xml:space="preserve">3. Deployment</w:t>
      </w:r>
    </w:p>
    <w:p>
      <w:pPr>
        <w:pStyle w:val="Heading2"/>
        <w:spacing w:after="100" w:before="220"/>
      </w:pPr>
      <w:r>
        <w:rPr>
          <w:rFonts w:ascii="Calibri" w:cs="Calibri" w:eastAsia="Calibri" w:hAnsi="Calibri"/>
          <w:b/>
          <w:bCs/>
          <w:color w:val="2E5597"/>
          <w:sz w:val="25"/>
          <w:szCs w:val="25"/>
        </w:rPr>
        <w:t xml:space="preserve">3.1 Containers</w:t>
      </w:r>
    </w:p>
    <w:p>
      <w:pPr>
        <w:pStyle w:val="ListParagraph"/>
        <w:numPr>
          <w:ilvl w:val="0"/>
          <w:numId w:val="2"/>
        </w:numPr>
        <w:spacing w:after="60"/>
      </w:pPr>
      <w:r>
        <w:rPr>
          <w:rFonts w:ascii="Calibri" w:cs="Calibri" w:eastAsia="Calibri" w:hAnsi="Calibri"/>
          <w:b/>
          <w:bCs/>
          <w:sz w:val="22"/>
          <w:szCs w:val="22"/>
        </w:rPr>
        <w:t xml:space="preserve">App container: </w:t>
      </w:r>
      <w:r>
        <w:rPr>
          <w:rFonts w:ascii="Calibri" w:cs="Calibri" w:eastAsia="Calibri" w:hAnsi="Calibri"/>
          <w:sz w:val="22"/>
          <w:szCs w:val="22"/>
        </w:rPr>
        <w:t xml:space="preserve">Python, the ingestion and retrieval code, ChromaDB and the Streamlit UI.</w:t>
      </w:r>
    </w:p>
    <w:p>
      <w:pPr>
        <w:pStyle w:val="ListParagraph"/>
        <w:numPr>
          <w:ilvl w:val="0"/>
          <w:numId w:val="2"/>
        </w:numPr>
        <w:spacing w:after="60"/>
      </w:pPr>
      <w:r>
        <w:rPr>
          <w:rFonts w:ascii="Calibri" w:cs="Calibri" w:eastAsia="Calibri" w:hAnsi="Calibri"/>
          <w:b/>
          <w:bCs/>
          <w:sz w:val="22"/>
          <w:szCs w:val="22"/>
        </w:rPr>
        <w:t xml:space="preserve">Ollama container: </w:t>
      </w:r>
      <w:r>
        <w:rPr>
          <w:rFonts w:ascii="Calibri" w:cs="Calibri" w:eastAsia="Calibri" w:hAnsi="Calibri"/>
          <w:sz w:val="22"/>
          <w:szCs w:val="22"/>
        </w:rPr>
        <w:t xml:space="preserve">serves the llama3.2:3b model to the app over the internal compose network.</w:t>
      </w:r>
    </w:p>
    <w:p>
      <w:pPr>
        <w:pStyle w:val="ListParagraph"/>
        <w:numPr>
          <w:ilvl w:val="0"/>
          <w:numId w:val="2"/>
        </w:numPr>
        <w:spacing w:after="60"/>
      </w:pPr>
      <w:r>
        <w:rPr>
          <w:rFonts w:ascii="Calibri" w:cs="Calibri" w:eastAsia="Calibri" w:hAnsi="Calibri"/>
          <w:sz w:val="22"/>
          <w:szCs w:val="22"/>
        </w:rPr>
        <w:t xml:space="preserve">Streamlit is published on the host so other machines on the local network can use the chat.</w:t>
      </w:r>
    </w:p>
    <w:p>
      <w:pPr>
        <w:pStyle w:val="Heading2"/>
        <w:spacing w:after="100" w:before="220"/>
      </w:pPr>
      <w:r>
        <w:rPr>
          <w:rFonts w:ascii="Calibri" w:cs="Calibri" w:eastAsia="Calibri" w:hAnsi="Calibri"/>
          <w:b/>
          <w:bCs/>
          <w:color w:val="2E5597"/>
          <w:sz w:val="25"/>
          <w:szCs w:val="25"/>
        </w:rPr>
        <w:t xml:space="preserve">3.2 Protecting the confidential document</w:t>
      </w:r>
    </w:p>
    <w:p>
      <w:pPr>
        <w:pStyle w:val="ListParagraph"/>
        <w:numPr>
          <w:ilvl w:val="0"/>
          <w:numId w:val="2"/>
        </w:numPr>
        <w:spacing w:after="60"/>
      </w:pPr>
      <w:r>
        <w:rPr>
          <w:rFonts w:ascii="Calibri" w:cs="Calibri" w:eastAsia="Calibri" w:hAnsi="Calibri"/>
          <w:sz w:val="22"/>
          <w:szCs w:val="22"/>
        </w:rPr>
        <w:t xml:space="preserve">The policy PDF is listed in both </w:t>
      </w:r>
      <w:r>
        <w:rPr>
          <w:rFonts w:ascii="Consolas" w:cs="Consolas" w:eastAsia="Consolas" w:hAnsi="Consolas"/>
          <w:sz w:val="20"/>
          <w:szCs w:val="20"/>
        </w:rPr>
        <w:t xml:space="preserve">.dockerignore</w:t>
      </w:r>
      <w:r>
        <w:rPr>
          <w:rFonts w:ascii="Calibri" w:cs="Calibri" w:eastAsia="Calibri" w:hAnsi="Calibri"/>
          <w:sz w:val="22"/>
          <w:szCs w:val="22"/>
        </w:rPr>
        <w:t xml:space="preserve"> and </w:t>
      </w:r>
      <w:r>
        <w:rPr>
          <w:rFonts w:ascii="Consolas" w:cs="Consolas" w:eastAsia="Consolas" w:hAnsi="Consolas"/>
          <w:sz w:val="20"/>
          <w:szCs w:val="20"/>
        </w:rPr>
        <w:t xml:space="preserve">.gitignore</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It is mounted into the container at runtime through a Docker volume, so it is never copied into an image layer or a Git commit.</w:t>
      </w:r>
    </w:p>
    <w:p>
      <w:pPr>
        <w:pStyle w:val="ListParagraph"/>
        <w:numPr>
          <w:ilvl w:val="0"/>
          <w:numId w:val="2"/>
        </w:numPr>
        <w:spacing w:after="60"/>
      </w:pPr>
      <w:r>
        <w:rPr>
          <w:rFonts w:ascii="Calibri" w:cs="Calibri" w:eastAsia="Calibri" w:hAnsi="Calibri"/>
          <w:sz w:val="22"/>
          <w:szCs w:val="22"/>
        </w:rPr>
        <w:t xml:space="preserve">Images can be rebuilt or shared without exposing policy content.</w:t>
      </w:r>
    </w:p>
    <w:p>
      <w:pPr>
        <w:pStyle w:val="Heading2"/>
        <w:spacing w:after="100" w:before="220"/>
      </w:pPr>
      <w:r>
        <w:rPr>
          <w:rFonts w:ascii="Calibri" w:cs="Calibri" w:eastAsia="Calibri" w:hAnsi="Calibri"/>
          <w:b/>
          <w:bCs/>
          <w:color w:val="2E5597"/>
          <w:sz w:val="25"/>
          <w:szCs w:val="25"/>
        </w:rPr>
        <w:t xml:space="preserve">3.3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Item</w:t>
            </w:r>
          </w:p>
        </w:tc>
        <w:tc>
          <w:tcPr>
            <w:tcW w:type="dxa" w:w="65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Value</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Host OS</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Windows (laptop)</w:t>
            </w:r>
          </w:p>
        </w:tc>
      </w:tr>
      <w:tr>
        <w:trPr>
          <w:tblHeader w:val="false"/>
        </w:trPr>
        <w:tc>
          <w:tcPr>
            <w:tcW w:type="dxa" w:w="2800"/>
            <w:tcBorders>
              <w:top w:val="single" w:color="BFBFBF" w:sz="4"/>
              <w:left w:val="single" w:color="BFBFBF" w:sz="4"/>
              <w:bottom w:val="single" w:color="BFBFBF" w:sz="4"/>
              <w:right w:val="single" w:color="BFBFBF" w:sz="4"/>
            </w:tcBorders>
            <w:shd w:fill="F3F6FB"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Project folder</w:t>
            </w:r>
          </w:p>
        </w:tc>
        <w:tc>
          <w:tcPr>
            <w:tcW w:type="dxa" w:w="6560"/>
            <w:tcBorders>
              <w:top w:val="single" w:color="BFBFBF" w:sz="4"/>
              <w:left w:val="single" w:color="BFBFBF" w:sz="4"/>
              <w:bottom w:val="single" w:color="BFBFBF" w:sz="4"/>
              <w:right w:val="single" w:color="BFBFBF" w:sz="4"/>
            </w:tcBorders>
            <w:shd w:fill="F3F6FB"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C:\D\Projects\IT-RAG\</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Tesseract</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C:\Program Files\Tesseract-OCR\tesseract.exe</w:t>
            </w:r>
          </w:p>
        </w:tc>
      </w:tr>
      <w:tr>
        <w:trPr>
          <w:tblHeader w:val="false"/>
        </w:trPr>
        <w:tc>
          <w:tcPr>
            <w:tcW w:type="dxa" w:w="2800"/>
            <w:tcBorders>
              <w:top w:val="single" w:color="BFBFBF" w:sz="4"/>
              <w:left w:val="single" w:color="BFBFBF" w:sz="4"/>
              <w:bottom w:val="single" w:color="BFBFBF" w:sz="4"/>
              <w:right w:val="single" w:color="BFBFBF" w:sz="4"/>
            </w:tcBorders>
            <w:shd w:fill="F3F6FB"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Poppler</w:t>
            </w:r>
          </w:p>
        </w:tc>
        <w:tc>
          <w:tcPr>
            <w:tcW w:type="dxa" w:w="6560"/>
            <w:tcBorders>
              <w:top w:val="single" w:color="BFBFBF" w:sz="4"/>
              <w:left w:val="single" w:color="BFBFBF" w:sz="4"/>
              <w:bottom w:val="single" w:color="BFBFBF" w:sz="4"/>
              <w:right w:val="single" w:color="BFBFBF" w:sz="4"/>
            </w:tcBorders>
            <w:shd w:fill="F3F6FB"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C:\Users\4alga\Downloads\Release-26.07.0-0\poppler-26.07.0\Library\bin</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PyTorch</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CPU-only build, installed via --extra-index-url in requirements.txt</w:t>
            </w:r>
          </w:p>
        </w:tc>
      </w:tr>
    </w:tbl>
    <w:p>
      <w:pPr>
        <w:spacing w:after="80"/>
      </w:pPr>
    </w:p>
    <w:p>
      <w:pPr>
        <w:pStyle w:val="Heading2"/>
        <w:spacing w:after="100" w:before="220"/>
      </w:pPr>
      <w:r>
        <w:rPr>
          <w:rFonts w:ascii="Calibri" w:cs="Calibri" w:eastAsia="Calibri" w:hAnsi="Calibri"/>
          <w:b/>
          <w:bCs/>
          <w:color w:val="2E5597"/>
          <w:sz w:val="25"/>
          <w:szCs w:val="25"/>
        </w:rPr>
        <w:t xml:space="preserve">3.4 Running it</w:t>
      </w:r>
    </w:p>
    <w:p>
      <w:pPr>
        <w:shd w:fill="F2F2F2" w:val="clear"/>
        <w:spacing w:after="0"/>
      </w:pPr>
      <w:r>
        <w:rPr>
          <w:rFonts w:ascii="Consolas" w:cs="Consolas" w:eastAsia="Consolas" w:hAnsi="Consolas"/>
          <w:sz w:val="19"/>
          <w:szCs w:val="19"/>
        </w:rPr>
        <w:t xml:space="preserve">docker compose up --build</w:t>
      </w:r>
    </w:p>
    <w:p>
      <w:pPr>
        <w:shd w:fill="F2F2F2" w:val="clear"/>
        <w:spacing w:after="0"/>
      </w:pPr>
      <w:r>
        <w:rPr>
          <w:rFonts w:ascii="Consolas" w:cs="Consolas" w:eastAsia="Consolas" w:hAnsi="Consolas"/>
          <w:sz w:val="19"/>
          <w:szCs w:val="19"/>
        </w:rPr>
        <w:t xml:space="preserve"># then open http://&lt;host-ip&gt;:&lt;streamlit-port&gt; from any machine on the LAN</w:t>
      </w:r>
    </w:p>
    <w:p>
      <w:pPr>
        <w:spacing w:after="80"/>
      </w:pPr>
    </w:p>
    <w:p>
      <w:pPr>
        <w:pStyle w:val="Heading1"/>
        <w:spacing w:after="140" w:before="320"/>
      </w:pPr>
      <w:r>
        <w:rPr>
          <w:rFonts w:ascii="Calibri" w:cs="Calibri" w:eastAsia="Calibri" w:hAnsi="Calibri"/>
          <w:b/>
          <w:bCs/>
          <w:color w:val="1F3864"/>
          <w:sz w:val="30"/>
          <w:szCs w:val="30"/>
        </w:rPr>
        <w:t xml:space="preserve">4. Issues Faced</w:t>
      </w:r>
    </w:p>
    <w:p>
      <w:pPr>
        <w:spacing w:after="120"/>
      </w:pPr>
      <w:r>
        <w:rPr>
          <w:rFonts w:ascii="Calibri" w:cs="Calibri" w:eastAsia="Calibri" w:hAnsi="Calibri"/>
          <w:sz w:val="22"/>
          <w:szCs w:val="22"/>
        </w:rPr>
        <w:t xml:space="preserve">These are the main problems hit during development, in roughly the order they came up, along with how each was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Issue</w:t>
            </w:r>
          </w:p>
        </w:tc>
        <w:tc>
          <w:tcPr>
            <w:tcW w:type="dxa" w:w="2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Symptom</w:t>
            </w:r>
          </w:p>
        </w:tc>
        <w:tc>
          <w:tcPr>
            <w:tcW w:type="dxa" w:w="2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Root cause</w:t>
            </w:r>
          </w:p>
        </w:tc>
        <w:tc>
          <w:tcPr>
            <w:tcW w:type="dxa" w:w="23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Resolution / status</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Python environment conflicts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Imports failed or packages seemed "missing" right after installing them.</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Several Python interpreters on Windows; pip installed into a different one than the one running the code.</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Resolved. Install packages against the exact interpreter in use (python -m pip ...) and check which one is active.</w:t>
            </w:r>
          </w:p>
        </w:tc>
      </w:tr>
      <w:tr>
        <w:trPr>
          <w:tblHeader w:val="false"/>
        </w:trPr>
        <w:tc>
          <w:tcPr>
            <w:tcW w:type="dxa" w:w="2000"/>
            <w:tcBorders>
              <w:top w:val="single" w:color="BFBFBF" w:sz="4"/>
              <w:left w:val="single" w:color="BFBFBF" w:sz="4"/>
              <w:bottom w:val="single" w:color="BFBFBF" w:sz="4"/>
              <w:right w:val="single" w:color="BFBFBF" w:sz="4"/>
            </w:tcBorders>
            <w:shd w:fill="F3F6FB"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Docker image bloat / disk space</w:t>
            </w:r>
          </w:p>
        </w:tc>
        <w:tc>
          <w:tcPr>
            <w:tcW w:type="dxa" w:w="2500"/>
            <w:tcBorders>
              <w:top w:val="single" w:color="BFBFBF" w:sz="4"/>
              <w:left w:val="single" w:color="BFBFBF" w:sz="4"/>
              <w:bottom w:val="single" w:color="BFBFBF" w:sz="4"/>
              <w:right w:val="single" w:color="BFBFBF" w:sz="4"/>
            </w:tcBorders>
            <w:shd w:fill="F3F6FB"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Builds were huge and ran out of disk space.</w:t>
            </w:r>
          </w:p>
        </w:tc>
        <w:tc>
          <w:tcPr>
            <w:tcW w:type="dxa" w:w="2500"/>
            <w:tcBorders>
              <w:top w:val="single" w:color="BFBFBF" w:sz="4"/>
              <w:left w:val="single" w:color="BFBFBF" w:sz="4"/>
              <w:bottom w:val="single" w:color="BFBFBF" w:sz="4"/>
              <w:right w:val="single" w:color="BFBFBF" w:sz="4"/>
            </w:tcBorders>
            <w:shd w:fill="F3F6FB"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The default PyTorch wheel pulled in CUDA libraries that a CPU-only laptop doesn't need.</w:t>
            </w:r>
          </w:p>
        </w:tc>
        <w:tc>
          <w:tcPr>
            <w:tcW w:type="dxa" w:w="2360"/>
            <w:tcBorders>
              <w:top w:val="single" w:color="BFBFBF" w:sz="4"/>
              <w:left w:val="single" w:color="BFBFBF" w:sz="4"/>
              <w:bottom w:val="single" w:color="BFBFBF" w:sz="4"/>
              <w:right w:val="single" w:color="BFBFBF" w:sz="4"/>
            </w:tcBorders>
            <w:shd w:fill="F3F6FB"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Resolved. Force CPU-only PyTorch through --extra-index-url in requirements.txt.</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Duplicate function definitions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Code changes had no effect and old behaviour persisted.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 second definition with the same name, further down the file, silently replaced the first.</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Resolved. Removed the duplicates. Check for repeated def names when behaviour doesn't change.</w:t>
            </w:r>
          </w:p>
        </w:tc>
      </w:tr>
      <w:tr>
        <w:trPr>
          <w:tblHeader w:val="false"/>
        </w:trPr>
        <w:tc>
          <w:tcPr>
            <w:tcW w:type="dxa" w:w="2000"/>
            <w:tcBorders>
              <w:top w:val="single" w:color="BFBFBF" w:sz="4"/>
              <w:left w:val="single" w:color="BFBFBF" w:sz="4"/>
              <w:bottom w:val="single" w:color="BFBFBF" w:sz="4"/>
              <w:right w:val="single" w:color="BFBFBF" w:sz="4"/>
            </w:tcBorders>
            <w:shd w:fill="F3F6FB"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return inside while loop</w:t>
            </w:r>
          </w:p>
        </w:tc>
        <w:tc>
          <w:tcPr>
            <w:tcW w:type="dxa" w:w="2500"/>
            <w:tcBorders>
              <w:top w:val="single" w:color="BFBFBF" w:sz="4"/>
              <w:left w:val="single" w:color="BFBFBF" w:sz="4"/>
              <w:bottom w:val="single" w:color="BFBFBF" w:sz="4"/>
              <w:right w:val="single" w:color="BFBFBF" w:sz="4"/>
            </w:tcBorders>
            <w:shd w:fill="F3F6FB"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 loop that should process everything stopped after one iteration.</w:t>
            </w:r>
          </w:p>
        </w:tc>
        <w:tc>
          <w:tcPr>
            <w:tcW w:type="dxa" w:w="2500"/>
            <w:tcBorders>
              <w:top w:val="single" w:color="BFBFBF" w:sz="4"/>
              <w:left w:val="single" w:color="BFBFBF" w:sz="4"/>
              <w:bottom w:val="single" w:color="BFBFBF" w:sz="4"/>
              <w:right w:val="single" w:color="BFBFBF" w:sz="4"/>
            </w:tcBorders>
            <w:shd w:fill="F3F6FB"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 return statement sat inside the loop body instead of after it.</w:t>
            </w:r>
          </w:p>
        </w:tc>
        <w:tc>
          <w:tcPr>
            <w:tcW w:type="dxa" w:w="2360"/>
            <w:tcBorders>
              <w:top w:val="single" w:color="BFBFBF" w:sz="4"/>
              <w:left w:val="single" w:color="BFBFBF" w:sz="4"/>
              <w:bottom w:val="single" w:color="BFBFBF" w:sz="4"/>
              <w:right w:val="single" w:color="BFBFBF" w:sz="4"/>
            </w:tcBorders>
            <w:shd w:fill="F3F6FB"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Resolved. Moved the return outside the loop.</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Unsaved edits during testing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 fix appeared to fail even though it was correct.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The file wasn't saved before the script ran, so the old code was executed.</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Resolved (process). Save before every test run; enable auto-save.</w:t>
            </w:r>
          </w:p>
        </w:tc>
      </w:tr>
      <w:tr>
        <w:trPr>
          <w:tblHeader w:val="false"/>
        </w:trPr>
        <w:tc>
          <w:tcPr>
            <w:tcW w:type="dxa" w:w="2000"/>
            <w:tcBorders>
              <w:top w:val="single" w:color="BFBFBF" w:sz="4"/>
              <w:left w:val="single" w:color="BFBFBF" w:sz="4"/>
              <w:bottom w:val="single" w:color="BFBFBF" w:sz="4"/>
              <w:right w:val="single" w:color="BFBFBF" w:sz="4"/>
            </w:tcBorders>
            <w:shd w:fill="F3F6FB"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Confidential file exposure risk</w:t>
            </w:r>
          </w:p>
        </w:tc>
        <w:tc>
          <w:tcPr>
            <w:tcW w:type="dxa" w:w="2500"/>
            <w:tcBorders>
              <w:top w:val="single" w:color="BFBFBF" w:sz="4"/>
              <w:left w:val="single" w:color="BFBFBF" w:sz="4"/>
              <w:bottom w:val="single" w:color="BFBFBF" w:sz="4"/>
              <w:right w:val="single" w:color="BFBFBF" w:sz="4"/>
            </w:tcBorders>
            <w:shd w:fill="F3F6FB"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The policy PDF could have been baked into the image or pushed to Git.</w:t>
            </w:r>
          </w:p>
        </w:tc>
        <w:tc>
          <w:tcPr>
            <w:tcW w:type="dxa" w:w="2500"/>
            <w:tcBorders>
              <w:top w:val="single" w:color="BFBFBF" w:sz="4"/>
              <w:left w:val="single" w:color="BFBFBF" w:sz="4"/>
              <w:bottom w:val="single" w:color="BFBFBF" w:sz="4"/>
              <w:right w:val="single" w:color="BFBFBF" w:sz="4"/>
            </w:tcBorders>
            <w:shd w:fill="F3F6FB"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 default COPY . / git add . would include every file.</w:t>
            </w:r>
          </w:p>
        </w:tc>
        <w:tc>
          <w:tcPr>
            <w:tcW w:type="dxa" w:w="2360"/>
            <w:tcBorders>
              <w:top w:val="single" w:color="BFBFBF" w:sz="4"/>
              <w:left w:val="single" w:color="BFBFBF" w:sz="4"/>
              <w:bottom w:val="single" w:color="BFBFBF" w:sz="4"/>
              <w:right w:val="single" w:color="BFBFBF" w:sz="4"/>
            </w:tcBorders>
            <w:shd w:fill="F3F6FB"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Resolved. .dockerignore and .gitignore entries, plus runtime volume mount.</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Over-aggressive preprocessing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The real policy PDF produced very few chunks, so answers were thin or missing.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Noise and TOC regex filters in preprocessing.py match real content. Text drops from about 16,918 characters to about 936, roughly 94% lost.</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OPEN. Several regex approaches tried with no confirmed fix. Blocks real-document use.</w:t>
            </w:r>
          </w:p>
        </w:tc>
      </w:tr>
    </w:tbl>
    <w:p>
      <w:pPr>
        <w:spacing w:after="80"/>
      </w:pPr>
    </w:p>
    <w:p>
      <w:pPr>
        <w:pStyle w:val="Heading2"/>
        <w:spacing w:after="100" w:before="220"/>
      </w:pPr>
      <w:r>
        <w:rPr>
          <w:rFonts w:ascii="Calibri" w:cs="Calibri" w:eastAsia="Calibri" w:hAnsi="Calibri"/>
          <w:b/>
          <w:bCs/>
          <w:color w:val="2E5597"/>
          <w:sz w:val="25"/>
          <w:szCs w:val="25"/>
        </w:rPr>
        <w:t xml:space="preserve">4.1 Open issue in detail: preprocessing data loss</w:t>
      </w:r>
    </w:p>
    <w:p>
      <w:pPr>
        <w:spacing w:after="120"/>
      </w:pPr>
      <w:r>
        <w:rPr>
          <w:rFonts w:ascii="Calibri" w:cs="Calibri" w:eastAsia="Calibri" w:hAnsi="Calibri"/>
          <w:sz w:val="22"/>
          <w:szCs w:val="22"/>
        </w:rPr>
        <w:t xml:space="preserve">This is the only issue blocking production use. The pipeline runs end-to-end and the demo works, but against the real policy PDF the cleaning step throws away most of the text. The retriever then has only a handful of chunks to work with, so many questions can't be answered.</w:t>
      </w:r>
    </w:p>
    <w:p>
      <w:pPr>
        <w:spacing w:after="120"/>
      </w:pPr>
      <w:r>
        <w:rPr>
          <w:rFonts w:ascii="Calibri" w:cs="Calibri" w:eastAsia="Calibri" w:hAnsi="Calibri"/>
          <w:b/>
          <w:bCs/>
          <w:sz w:val="22"/>
          <w:szCs w:val="22"/>
        </w:rPr>
        <w:t xml:space="preserve">Recommended approach:</w:t>
      </w:r>
    </w:p>
    <w:p>
      <w:pPr>
        <w:pStyle w:val="ListParagraph"/>
        <w:numPr>
          <w:ilvl w:val="0"/>
          <w:numId w:val="4"/>
        </w:numPr>
        <w:spacing w:after="60"/>
      </w:pPr>
      <w:r>
        <w:rPr>
          <w:rFonts w:ascii="Calibri" w:cs="Calibri" w:eastAsia="Calibri" w:hAnsi="Calibri"/>
          <w:sz w:val="22"/>
          <w:szCs w:val="22"/>
        </w:rPr>
        <w:t xml:space="preserve">Log what each filter removes: characters before and after every rule, plus a sample of the dropped lines. This shows exactly which rule is destroying content.</w:t>
      </w:r>
    </w:p>
    <w:p>
      <w:pPr>
        <w:pStyle w:val="ListParagraph"/>
        <w:numPr>
          <w:ilvl w:val="0"/>
          <w:numId w:val="4"/>
        </w:numPr>
        <w:spacing w:after="60"/>
      </w:pPr>
      <w:r>
        <w:rPr>
          <w:rFonts w:ascii="Calibri" w:cs="Calibri" w:eastAsia="Calibri" w:hAnsi="Calibri"/>
          <w:sz w:val="22"/>
          <w:szCs w:val="22"/>
        </w:rPr>
        <w:t xml:space="preserve">Replace broad regexes with narrow, line-anchored ones. For example, only drop a TOC line if it ends in dot leaders followed by a page number, and only drop headers or footers that repeat on most pages.</w:t>
      </w:r>
    </w:p>
    <w:p>
      <w:pPr>
        <w:pStyle w:val="ListParagraph"/>
        <w:numPr>
          <w:ilvl w:val="0"/>
          <w:numId w:val="4"/>
        </w:numPr>
        <w:spacing w:after="60"/>
      </w:pPr>
      <w:r>
        <w:rPr>
          <w:rFonts w:ascii="Calibri" w:cs="Calibri" w:eastAsia="Calibri" w:hAnsi="Calibri"/>
          <w:sz w:val="22"/>
          <w:szCs w:val="22"/>
        </w:rPr>
        <w:t xml:space="preserve">Add a safety threshold: if cleaning removes more than about 30% of the text, fail loudly or fall back to lighter cleaning.</w:t>
      </w:r>
    </w:p>
    <w:p>
      <w:pPr>
        <w:pStyle w:val="ListParagraph"/>
        <w:numPr>
          <w:ilvl w:val="0"/>
          <w:numId w:val="4"/>
        </w:numPr>
        <w:spacing w:after="60"/>
      </w:pPr>
      <w:r>
        <w:rPr>
          <w:rFonts w:ascii="Calibri" w:cs="Calibri" w:eastAsia="Calibri" w:hAnsi="Calibri"/>
          <w:sz w:val="22"/>
          <w:szCs w:val="22"/>
        </w:rPr>
        <w:t xml:space="preserve">Check that OCR output and text-layer output aren't being treated the same way. OCR text often has line breaks that trip the paragraph and noise rules.</w:t>
      </w:r>
    </w:p>
    <w:p>
      <w:pPr>
        <w:pStyle w:val="ListParagraph"/>
        <w:numPr>
          <w:ilvl w:val="0"/>
          <w:numId w:val="4"/>
        </w:numPr>
        <w:spacing w:after="60"/>
      </w:pPr>
      <w:r>
        <w:rPr>
          <w:rFonts w:ascii="Calibri" w:cs="Calibri" w:eastAsia="Calibri" w:hAnsi="Calibri"/>
          <w:sz w:val="22"/>
          <w:szCs w:val="22"/>
        </w:rPr>
        <w:t xml:space="preserve">After any fix, re-ingest and confirm the chunk count and a spot-check of answers.</w:t>
      </w:r>
    </w:p>
    <w:p>
      <w:pPr>
        <w:pStyle w:val="Heading1"/>
        <w:spacing w:after="140" w:before="320"/>
      </w:pPr>
      <w:r>
        <w:rPr>
          <w:rFonts w:ascii="Calibri" w:cs="Calibri" w:eastAsia="Calibri" w:hAnsi="Calibri"/>
          <w:b/>
          <w:bCs/>
          <w:color w:val="1F3864"/>
          <w:sz w:val="30"/>
          <w:szCs w:val="30"/>
        </w:rPr>
        <w:t xml:space="preserve">5. Lessons Learned</w:t>
      </w:r>
    </w:p>
    <w:p>
      <w:pPr>
        <w:pStyle w:val="ListParagraph"/>
        <w:numPr>
          <w:ilvl w:val="0"/>
          <w:numId w:val="2"/>
        </w:numPr>
        <w:spacing w:after="60"/>
      </w:pPr>
      <w:r>
        <w:rPr>
          <w:rFonts w:ascii="Calibri" w:cs="Calibri" w:eastAsia="Calibri" w:hAnsi="Calibri"/>
          <w:sz w:val="22"/>
          <w:szCs w:val="22"/>
        </w:rPr>
        <w:t xml:space="preserve">Confirm which Python interpreter you're using before debugging import errors.</w:t>
      </w:r>
    </w:p>
    <w:p>
      <w:pPr>
        <w:pStyle w:val="ListParagraph"/>
        <w:numPr>
          <w:ilvl w:val="0"/>
          <w:numId w:val="2"/>
        </w:numPr>
        <w:spacing w:after="60"/>
      </w:pPr>
      <w:r>
        <w:rPr>
          <w:rFonts w:ascii="Calibri" w:cs="Calibri" w:eastAsia="Calibri" w:hAnsi="Calibri"/>
          <w:sz w:val="22"/>
          <w:szCs w:val="22"/>
        </w:rPr>
        <w:t xml:space="preserve">Pin CPU-only ML dependencies for laptop and container builds; CUDA wheels are gigabytes of dead weight.</w:t>
      </w:r>
    </w:p>
    <w:p>
      <w:pPr>
        <w:pStyle w:val="ListParagraph"/>
        <w:numPr>
          <w:ilvl w:val="0"/>
          <w:numId w:val="2"/>
        </w:numPr>
        <w:spacing w:after="60"/>
      </w:pPr>
      <w:r>
        <w:rPr>
          <w:rFonts w:ascii="Calibri" w:cs="Calibri" w:eastAsia="Calibri" w:hAnsi="Calibri"/>
          <w:sz w:val="22"/>
          <w:szCs w:val="22"/>
        </w:rPr>
        <w:t xml:space="preserve">Python gives no warning when a function is redefined. Search for duplicate definitions when a change seems to do nothing.</w:t>
      </w:r>
    </w:p>
    <w:p>
      <w:pPr>
        <w:pStyle w:val="ListParagraph"/>
        <w:numPr>
          <w:ilvl w:val="0"/>
          <w:numId w:val="2"/>
        </w:numPr>
        <w:spacing w:after="60"/>
      </w:pPr>
      <w:r>
        <w:rPr>
          <w:rFonts w:ascii="Calibri" w:cs="Calibri" w:eastAsia="Calibri" w:hAnsi="Calibri"/>
          <w:sz w:val="22"/>
          <w:szCs w:val="22"/>
        </w:rPr>
        <w:t xml:space="preserve">Pay attention to indentation around return inside loops.</w:t>
      </w:r>
    </w:p>
    <w:p>
      <w:pPr>
        <w:pStyle w:val="ListParagraph"/>
        <w:numPr>
          <w:ilvl w:val="0"/>
          <w:numId w:val="2"/>
        </w:numPr>
        <w:spacing w:after="60"/>
      </w:pPr>
      <w:r>
        <w:rPr>
          <w:rFonts w:ascii="Calibri" w:cs="Calibri" w:eastAsia="Calibri" w:hAnsi="Calibri"/>
          <w:sz w:val="22"/>
          <w:szCs w:val="22"/>
        </w:rPr>
        <w:t xml:space="preserve">Save before running. Many "failed fixes" were really stale files.</w:t>
      </w:r>
    </w:p>
    <w:p>
      <w:pPr>
        <w:pStyle w:val="ListParagraph"/>
        <w:numPr>
          <w:ilvl w:val="0"/>
          <w:numId w:val="2"/>
        </w:numPr>
        <w:spacing w:after="60"/>
      </w:pPr>
      <w:r>
        <w:rPr>
          <w:rFonts w:ascii="Calibri" w:cs="Calibri" w:eastAsia="Calibri" w:hAnsi="Calibri"/>
          <w:sz w:val="22"/>
          <w:szCs w:val="22"/>
        </w:rPr>
        <w:t xml:space="preserve">Test preprocessing on the real document early. Filters tuned on sample text can wipe out real content, so always measure how much text survives each stage.</w:t>
      </w:r>
    </w:p>
    <w:p>
      <w:pPr>
        <w:pStyle w:val="ListParagraph"/>
        <w:numPr>
          <w:ilvl w:val="0"/>
          <w:numId w:val="2"/>
        </w:numPr>
        <w:spacing w:after="60"/>
      </w:pPr>
      <w:r>
        <w:rPr>
          <w:rFonts w:ascii="Calibri" w:cs="Calibri" w:eastAsia="Calibri" w:hAnsi="Calibri"/>
          <w:sz w:val="22"/>
          <w:szCs w:val="22"/>
        </w:rPr>
        <w:t xml:space="preserve">Treat confidentiality as architecture: ignore files and runtime mounts keep sensitive data out of every artifact by default.</w:t>
      </w:r>
    </w:p>
    <w:p>
      <w:pPr>
        <w:pStyle w:val="Heading1"/>
        <w:spacing w:after="140" w:before="320"/>
      </w:pPr>
      <w:r>
        <w:rPr>
          <w:rFonts w:ascii="Calibri" w:cs="Calibri" w:eastAsia="Calibri" w:hAnsi="Calibri"/>
          <w:b/>
          <w:bCs/>
          <w:color w:val="1F3864"/>
          <w:sz w:val="30"/>
          <w:szCs w:val="30"/>
        </w:rPr>
        <w:t xml:space="preserve">6. Current Status and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3560"/>
      </w:tblGrid>
      <w:tr>
        <w:trPr>
          <w:tblHeader/>
        </w:trPr>
        <w:tc>
          <w:tcPr>
            <w:tcW w:type="dxa" w:w="4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Item</w:t>
            </w:r>
          </w:p>
        </w:tc>
        <w:tc>
          <w:tcPr>
            <w:tcW w:type="dxa" w:w="1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Status</w:t>
            </w:r>
          </w:p>
        </w:tc>
        <w:tc>
          <w:tcPr>
            <w:tcW w:type="dxa" w:w="35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Notes</w:t>
            </w:r>
          </w:p>
        </w:tc>
      </w:tr>
      <w:tr>
        <w:trPr>
          <w:tblHeader w:val="false"/>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End-to-end RAG pipeline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Done</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Ingestion, retrieval and generation all working.</w:t>
            </w:r>
          </w:p>
        </w:tc>
      </w:tr>
      <w:tr>
        <w:trPr>
          <w:tblHeader w:val="false"/>
        </w:trPr>
        <w:tc>
          <w:tcPr>
            <w:tcW w:type="dxa" w:w="4200"/>
            <w:tcBorders>
              <w:top w:val="single" w:color="BFBFBF" w:sz="4"/>
              <w:left w:val="single" w:color="BFBFBF" w:sz="4"/>
              <w:bottom w:val="single" w:color="BFBFBF" w:sz="4"/>
              <w:right w:val="single" w:color="BFBFBF" w:sz="4"/>
            </w:tcBorders>
            <w:shd w:fill="F3F6FB"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Dockerised (2 containers)</w:t>
            </w:r>
          </w:p>
        </w:tc>
        <w:tc>
          <w:tcPr>
            <w:tcW w:type="dxa" w:w="1600"/>
            <w:tcBorders>
              <w:top w:val="single" w:color="BFBFBF" w:sz="4"/>
              <w:left w:val="single" w:color="BFBFBF" w:sz="4"/>
              <w:bottom w:val="single" w:color="BFBFBF" w:sz="4"/>
              <w:right w:val="single" w:color="BFBFBF" w:sz="4"/>
            </w:tcBorders>
            <w:shd w:fill="F3F6FB"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Done</w:t>
            </w:r>
          </w:p>
        </w:tc>
        <w:tc>
          <w:tcPr>
            <w:tcW w:type="dxa" w:w="3560"/>
            <w:tcBorders>
              <w:top w:val="single" w:color="BFBFBF" w:sz="4"/>
              <w:left w:val="single" w:color="BFBFBF" w:sz="4"/>
              <w:bottom w:val="single" w:color="BFBFBF" w:sz="4"/>
              <w:right w:val="single" w:color="BFBFBF" w:sz="4"/>
            </w:tcBorders>
            <w:shd w:fill="F3F6FB"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Demo confirmed on the local network.</w:t>
            </w:r>
          </w:p>
        </w:tc>
      </w:tr>
      <w:tr>
        <w:trPr>
          <w:tblHeader w:val="false"/>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Confidential file handling</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Done</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Ignored in Docker and Git; mounted via volume.</w:t>
            </w:r>
          </w:p>
        </w:tc>
      </w:tr>
      <w:tr>
        <w:trPr>
          <w:tblHeader w:val="false"/>
        </w:trPr>
        <w:tc>
          <w:tcPr>
            <w:tcW w:type="dxa" w:w="4200"/>
            <w:tcBorders>
              <w:top w:val="single" w:color="BFBFBF" w:sz="4"/>
              <w:left w:val="single" w:color="BFBFBF" w:sz="4"/>
              <w:bottom w:val="single" w:color="BFBFBF" w:sz="4"/>
              <w:right w:val="single" w:color="BFBFBF" w:sz="4"/>
            </w:tcBorders>
            <w:shd w:fill="F3F6FB"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Fix preprocessing data loss</w:t>
            </w:r>
          </w:p>
        </w:tc>
        <w:tc>
          <w:tcPr>
            <w:tcW w:type="dxa" w:w="1600"/>
            <w:tcBorders>
              <w:top w:val="single" w:color="BFBFBF" w:sz="4"/>
              <w:left w:val="single" w:color="BFBFBF" w:sz="4"/>
              <w:bottom w:val="single" w:color="BFBFBF" w:sz="4"/>
              <w:right w:val="single" w:color="BFBFBF" w:sz="4"/>
            </w:tcBorders>
            <w:shd w:fill="F3F6FB"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Open</w:t>
            </w:r>
          </w:p>
        </w:tc>
        <w:tc>
          <w:tcPr>
            <w:tcW w:type="dxa" w:w="3560"/>
            <w:tcBorders>
              <w:top w:val="single" w:color="BFBFBF" w:sz="4"/>
              <w:left w:val="single" w:color="BFBFBF" w:sz="4"/>
              <w:bottom w:val="single" w:color="BFBFBF" w:sz="4"/>
              <w:right w:val="single" w:color="BFBFBF" w:sz="4"/>
            </w:tcBorders>
            <w:shd w:fill="F3F6FB"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Top priority; blocks use of the real policy PDF.</w:t>
            </w:r>
          </w:p>
        </w:tc>
      </w:tr>
      <w:tr>
        <w:trPr>
          <w:tblHeader w:val="false"/>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Push project to Git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Pending</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.gitignore already in place.</w:t>
            </w:r>
          </w:p>
        </w:tc>
      </w:tr>
      <w:tr>
        <w:trPr>
          <w:tblHeader w:val="false"/>
        </w:trPr>
        <w:tc>
          <w:tcPr>
            <w:tcW w:type="dxa" w:w="4200"/>
            <w:tcBorders>
              <w:top w:val="single" w:color="BFBFBF" w:sz="4"/>
              <w:left w:val="single" w:color="BFBFBF" w:sz="4"/>
              <w:bottom w:val="single" w:color="BFBFBF" w:sz="4"/>
              <w:right w:val="single" w:color="BFBFBF" w:sz="4"/>
            </w:tcBorders>
            <w:shd w:fill="F3F6FB"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Expand to user manuals and common cases</w:t>
            </w:r>
          </w:p>
        </w:tc>
        <w:tc>
          <w:tcPr>
            <w:tcW w:type="dxa" w:w="1600"/>
            <w:tcBorders>
              <w:top w:val="single" w:color="BFBFBF" w:sz="4"/>
              <w:left w:val="single" w:color="BFBFBF" w:sz="4"/>
              <w:bottom w:val="single" w:color="BFBFBF" w:sz="4"/>
              <w:right w:val="single" w:color="BFBFBF" w:sz="4"/>
            </w:tcBorders>
            <w:shd w:fill="F3F6FB"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Planned</w:t>
            </w:r>
          </w:p>
        </w:tc>
        <w:tc>
          <w:tcPr>
            <w:tcW w:type="dxa" w:w="3560"/>
            <w:tcBorders>
              <w:top w:val="single" w:color="BFBFBF" w:sz="4"/>
              <w:left w:val="single" w:color="BFBFBF" w:sz="4"/>
              <w:bottom w:val="single" w:color="BFBFBF" w:sz="4"/>
              <w:right w:val="single" w:color="BFBFBF" w:sz="4"/>
            </w:tcBorders>
            <w:shd w:fill="F3F6FB"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Director request. Needs multi-document ingestion and source metadata.</w:t>
            </w:r>
          </w:p>
        </w:tc>
      </w:tr>
    </w:tbl>
    <w:p>
      <w:pPr>
        <w:spacing w:after="80"/>
      </w:pPr>
    </w:p>
    <w:p>
      <w:pPr>
        <w:pStyle w:val="Heading2"/>
        <w:spacing w:after="100" w:before="220"/>
      </w:pPr>
      <w:r>
        <w:rPr>
          <w:rFonts w:ascii="Calibri" w:cs="Calibri" w:eastAsia="Calibri" w:hAnsi="Calibri"/>
          <w:b/>
          <w:bCs/>
          <w:color w:val="2E5597"/>
          <w:sz w:val="25"/>
          <w:szCs w:val="25"/>
        </w:rPr>
        <w:t xml:space="preserve">6.1 Suggested enhancements for the expansion</w:t>
      </w:r>
    </w:p>
    <w:p>
      <w:pPr>
        <w:pStyle w:val="ListParagraph"/>
        <w:numPr>
          <w:ilvl w:val="0"/>
          <w:numId w:val="2"/>
        </w:numPr>
        <w:spacing w:after="60"/>
      </w:pPr>
      <w:r>
        <w:rPr>
          <w:rFonts w:ascii="Calibri" w:cs="Calibri" w:eastAsia="Calibri" w:hAnsi="Calibri"/>
          <w:sz w:val="22"/>
          <w:szCs w:val="22"/>
        </w:rPr>
        <w:t xml:space="preserve">Store source file name and page number as chunk metadata and show citations in answers.</w:t>
      </w:r>
    </w:p>
    <w:p>
      <w:pPr>
        <w:pStyle w:val="ListParagraph"/>
        <w:numPr>
          <w:ilvl w:val="0"/>
          <w:numId w:val="2"/>
        </w:numPr>
        <w:spacing w:after="60"/>
      </w:pPr>
      <w:r>
        <w:rPr>
          <w:rFonts w:ascii="Calibri" w:cs="Calibri" w:eastAsia="Calibri" w:hAnsi="Calibri"/>
          <w:sz w:val="22"/>
          <w:szCs w:val="22"/>
        </w:rPr>
        <w:t xml:space="preserve">Support incremental ingestion so new manuals can be added without rebuilding the whole index.</w:t>
      </w:r>
    </w:p>
    <w:p>
      <w:pPr>
        <w:pStyle w:val="ListParagraph"/>
        <w:numPr>
          <w:ilvl w:val="0"/>
          <w:numId w:val="2"/>
        </w:numPr>
        <w:spacing w:after="60"/>
      </w:pPr>
      <w:r>
        <w:rPr>
          <w:rFonts w:ascii="Calibri" w:cs="Calibri" w:eastAsia="Calibri" w:hAnsi="Calibri"/>
          <w:sz w:val="22"/>
          <w:szCs w:val="22"/>
        </w:rPr>
        <w:t xml:space="preserve">Build a small evaluation set of known question-and-answer pairs to catch regressions after preprocessing or model changes.</w:t>
      </w:r>
    </w:p>
    <w:p>
      <w:pPr>
        <w:pStyle w:val="ListParagraph"/>
        <w:numPr>
          <w:ilvl w:val="0"/>
          <w:numId w:val="2"/>
        </w:numPr>
        <w:spacing w:after="60"/>
      </w:pPr>
      <w:r>
        <w:rPr>
          <w:rFonts w:ascii="Calibri" w:cs="Calibri" w:eastAsia="Calibri" w:hAnsi="Calibri"/>
          <w:sz w:val="22"/>
          <w:szCs w:val="22"/>
        </w:rPr>
        <w:t xml:space="preserve">If retrieval quality on Arabic content matters, consider a multilingual embedding model.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8"/>
        <w:szCs w:val="18"/>
      </w:rPr>
      <w:t xml:space="preserve">IT-RAG Project Documentation   |   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sz w:val="30"/>
      <w:szCs w:val="30"/>
    </w:rPr>
  </w:style>
  <w:style w:type="paragraph" w:styleId="Heading2">
    <w:name w:val="Heading 2"/>
    <w:basedOn w:val="Normal"/>
    <w:next w:val="Normal"/>
    <w:qFormat/>
    <w:pPr>
      <w:outlineLvl w:val="1"/>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2026-09-25T16:01:24.860Z</dcterms:created>
  <dcterms:modified xsi:type="dcterms:W3CDTF">2026-09-25T16:01:24.861Z</dcterms:modified>
</cp:coreProperties>
</file>

<file path=docProps/custom.xml><?xml version="1.0" encoding="utf-8"?>
<Properties xmlns="http://schemas.openxmlformats.org/officeDocument/2006/custom-properties" xmlns:vt="http://schemas.openxmlformats.org/officeDocument/2006/docPropsVTypes"/>
</file>