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90D6A" w14:textId="77777777" w:rsidR="009B24A5" w:rsidRDefault="009B24A5" w:rsidP="009B24A5">
      <w:pPr>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sz w:val="24"/>
          <w:szCs w:val="24"/>
        </w:rPr>
        <w:t>Kepenų</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parenchima</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homogeniška</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difuziškai</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hipoechogeniška</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lyginant</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su</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blužnimi</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kraštai</w:t>
      </w:r>
      <w:proofErr w:type="spellEnd"/>
    </w:p>
    <w:p w14:paraId="0A001A11" w14:textId="6D33B894" w:rsidR="00CC27E7" w:rsidRDefault="009B24A5" w:rsidP="009B24A5">
      <w:pPr>
        <w:rPr>
          <w:rFonts w:ascii="TimesNewRomanPSMT" w:hAnsi="TimesNewRomanPSMT" w:cs="TimesNewRomanPSMT"/>
          <w:sz w:val="24"/>
          <w:szCs w:val="24"/>
        </w:rPr>
      </w:pPr>
      <w:proofErr w:type="spellStart"/>
      <w:r>
        <w:rPr>
          <w:rFonts w:ascii="TimesNewRomanPSMT" w:hAnsi="TimesNewRomanPSMT" w:cs="TimesNewRomanPSMT"/>
          <w:sz w:val="24"/>
          <w:szCs w:val="24"/>
        </w:rPr>
        <w:t>aštrūs</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kraujagyslės</w:t>
      </w:r>
      <w:proofErr w:type="spellEnd"/>
      <w:r>
        <w:rPr>
          <w:rFonts w:ascii="TimesNewRomanPSMT" w:hAnsi="TimesNewRomanPSMT" w:cs="TimesNewRomanPSMT"/>
          <w:sz w:val="24"/>
          <w:szCs w:val="24"/>
        </w:rPr>
        <w:t xml:space="preserve"> </w:t>
      </w:r>
      <w:proofErr w:type="spellStart"/>
      <w:r>
        <w:rPr>
          <w:rFonts w:ascii="TimesNewRomanPSMT" w:hAnsi="TimesNewRomanPSMT" w:cs="TimesNewRomanPSMT"/>
          <w:sz w:val="24"/>
          <w:szCs w:val="24"/>
        </w:rPr>
        <w:t>neišsiplėtusios</w:t>
      </w:r>
      <w:proofErr w:type="spellEnd"/>
      <w:r>
        <w:rPr>
          <w:rFonts w:ascii="TimesNewRomanPSMT" w:hAnsi="TimesNewRomanPSMT" w:cs="TimesNewRomanPSMT"/>
          <w:sz w:val="24"/>
          <w:szCs w:val="24"/>
        </w:rPr>
        <w:t>.</w:t>
      </w:r>
    </w:p>
    <w:p w14:paraId="743CECDE" w14:textId="6057E3A1" w:rsidR="009B24A5" w:rsidRDefault="009B24A5" w:rsidP="009B24A5">
      <w:pPr>
        <w:rPr>
          <w:rFonts w:ascii="TimesNewRomanPSMT" w:hAnsi="TimesNewRomanPSMT" w:cs="TimesNewRomanPSMT"/>
          <w:sz w:val="24"/>
          <w:szCs w:val="24"/>
        </w:rPr>
      </w:pPr>
    </w:p>
    <w:p w14:paraId="26C46F62" w14:textId="4D14F0AC" w:rsidR="009B24A5" w:rsidRPr="00172427" w:rsidRDefault="009B24A5" w:rsidP="009B24A5">
      <w:pPr>
        <w:rPr>
          <w:rFonts w:cs="TimesNewRomanPSMT"/>
          <w:b/>
          <w:bCs/>
          <w:sz w:val="24"/>
          <w:szCs w:val="24"/>
          <w:lang w:val="lt-LT"/>
        </w:rPr>
      </w:pPr>
      <w:proofErr w:type="spellStart"/>
      <w:r w:rsidRPr="00172427">
        <w:rPr>
          <w:rFonts w:ascii="TimesNewRomanPSMT" w:hAnsi="TimesNewRomanPSMT" w:cs="TimesNewRomanPSMT"/>
          <w:b/>
          <w:bCs/>
          <w:sz w:val="24"/>
          <w:szCs w:val="24"/>
        </w:rPr>
        <w:t>Kepen</w:t>
      </w:r>
      <w:proofErr w:type="spellEnd"/>
      <w:r w:rsidRPr="00172427">
        <w:rPr>
          <w:rFonts w:cs="TimesNewRomanPSMT"/>
          <w:b/>
          <w:bCs/>
          <w:sz w:val="24"/>
          <w:szCs w:val="24"/>
          <w:lang w:val="lt-LT"/>
        </w:rPr>
        <w:t>ų parenchima:</w:t>
      </w:r>
    </w:p>
    <w:p w14:paraId="3761D7E4" w14:textId="6B7CD30D" w:rsidR="009B24A5" w:rsidRDefault="009B24A5" w:rsidP="009B24A5">
      <w:pPr>
        <w:rPr>
          <w:rFonts w:cs="TimesNewRomanPSMT"/>
          <w:sz w:val="24"/>
          <w:szCs w:val="24"/>
          <w:lang w:val="lt-LT"/>
        </w:rPr>
      </w:pPr>
      <w:r>
        <w:rPr>
          <w:rFonts w:cs="TimesNewRomanPSMT"/>
          <w:sz w:val="24"/>
          <w:szCs w:val="24"/>
          <w:lang w:val="lt-LT"/>
        </w:rPr>
        <w:t>Homogeniška</w:t>
      </w:r>
    </w:p>
    <w:p w14:paraId="03D904F0" w14:textId="7160EF8C" w:rsidR="009B24A5" w:rsidRDefault="009B24A5" w:rsidP="009B24A5">
      <w:pPr>
        <w:rPr>
          <w:rFonts w:cs="TimesNewRomanPSMT"/>
          <w:sz w:val="24"/>
          <w:szCs w:val="24"/>
          <w:lang w:val="lt-LT"/>
        </w:rPr>
      </w:pPr>
      <w:r>
        <w:rPr>
          <w:rFonts w:cs="TimesNewRomanPSMT"/>
          <w:sz w:val="24"/>
          <w:szCs w:val="24"/>
          <w:lang w:val="lt-LT"/>
        </w:rPr>
        <w:t>Heterogeniška</w:t>
      </w:r>
    </w:p>
    <w:p w14:paraId="73904B96" w14:textId="2ED2C11A" w:rsidR="009B24A5" w:rsidRDefault="009B24A5" w:rsidP="009B24A5">
      <w:pPr>
        <w:rPr>
          <w:rFonts w:cs="TimesNewRomanPSMT"/>
          <w:sz w:val="24"/>
          <w:szCs w:val="24"/>
          <w:lang w:val="lt-LT"/>
        </w:rPr>
      </w:pPr>
    </w:p>
    <w:p w14:paraId="6646DAEF" w14:textId="321CFD99" w:rsidR="009B24A5" w:rsidRPr="00172427" w:rsidRDefault="009B24A5" w:rsidP="009B24A5">
      <w:pPr>
        <w:rPr>
          <w:rFonts w:cs="TimesNewRomanPSMT"/>
          <w:b/>
          <w:bCs/>
          <w:sz w:val="24"/>
          <w:szCs w:val="24"/>
          <w:lang w:val="lt-LT"/>
        </w:rPr>
      </w:pPr>
      <w:r w:rsidRPr="00172427">
        <w:rPr>
          <w:rFonts w:cs="TimesNewRomanPSMT"/>
          <w:b/>
          <w:bCs/>
          <w:sz w:val="24"/>
          <w:szCs w:val="24"/>
          <w:lang w:val="lt-LT"/>
        </w:rPr>
        <w:t>Lyginant su blužnimi kepenų prenchima yra:</w:t>
      </w:r>
    </w:p>
    <w:p w14:paraId="1D39B66B" w14:textId="03E529CF" w:rsidR="009B24A5" w:rsidRDefault="009B24A5" w:rsidP="009B24A5">
      <w:pPr>
        <w:rPr>
          <w:rFonts w:cs="TimesNewRomanPSMT"/>
          <w:sz w:val="24"/>
          <w:szCs w:val="24"/>
          <w:lang w:val="lt-LT"/>
        </w:rPr>
      </w:pPr>
      <w:r>
        <w:rPr>
          <w:rFonts w:cs="TimesNewRomanPSMT"/>
          <w:sz w:val="24"/>
          <w:szCs w:val="24"/>
          <w:lang w:val="lt-LT"/>
        </w:rPr>
        <w:t>Hipoechogeniška</w:t>
      </w:r>
    </w:p>
    <w:p w14:paraId="28CD69A3" w14:textId="0A4B68D4" w:rsidR="009B24A5" w:rsidRDefault="009B24A5" w:rsidP="009B24A5">
      <w:pPr>
        <w:rPr>
          <w:rFonts w:cs="TimesNewRomanPSMT"/>
          <w:sz w:val="24"/>
          <w:szCs w:val="24"/>
          <w:lang w:val="lt-LT"/>
        </w:rPr>
      </w:pPr>
      <w:r>
        <w:rPr>
          <w:rFonts w:cs="TimesNewRomanPSMT"/>
          <w:sz w:val="24"/>
          <w:szCs w:val="24"/>
          <w:lang w:val="lt-LT"/>
        </w:rPr>
        <w:t>Izoechogeniška</w:t>
      </w:r>
    </w:p>
    <w:p w14:paraId="0291A1CC" w14:textId="6CA9CB39" w:rsidR="009B24A5" w:rsidRDefault="009B24A5" w:rsidP="009B24A5">
      <w:pPr>
        <w:rPr>
          <w:rFonts w:cs="TimesNewRomanPSMT"/>
          <w:sz w:val="24"/>
          <w:szCs w:val="24"/>
          <w:lang w:val="lt-LT"/>
        </w:rPr>
      </w:pPr>
      <w:r>
        <w:rPr>
          <w:rFonts w:cs="TimesNewRomanPSMT"/>
          <w:sz w:val="24"/>
          <w:szCs w:val="24"/>
          <w:lang w:val="lt-LT"/>
        </w:rPr>
        <w:t>Hiperpechogeniška</w:t>
      </w:r>
    </w:p>
    <w:p w14:paraId="5677842B" w14:textId="6CC7866D" w:rsidR="009B24A5" w:rsidRPr="00172427" w:rsidRDefault="009B24A5" w:rsidP="009B24A5">
      <w:pPr>
        <w:rPr>
          <w:rFonts w:cs="TimesNewRomanPSMT"/>
          <w:b/>
          <w:bCs/>
          <w:sz w:val="24"/>
          <w:szCs w:val="24"/>
          <w:lang w:val="lt-LT"/>
        </w:rPr>
      </w:pPr>
      <w:r w:rsidRPr="00172427">
        <w:rPr>
          <w:rFonts w:cs="TimesNewRomanPSMT"/>
          <w:b/>
          <w:bCs/>
          <w:sz w:val="24"/>
          <w:szCs w:val="24"/>
          <w:lang w:val="lt-LT"/>
        </w:rPr>
        <w:t>Kepenų kraštai</w:t>
      </w:r>
    </w:p>
    <w:p w14:paraId="3D7CEED2" w14:textId="6FFC6517" w:rsidR="009B24A5" w:rsidRDefault="009B24A5" w:rsidP="009B24A5">
      <w:pPr>
        <w:rPr>
          <w:rFonts w:cs="TimesNewRomanPSMT"/>
          <w:sz w:val="24"/>
          <w:szCs w:val="24"/>
          <w:lang w:val="lt-LT"/>
        </w:rPr>
      </w:pPr>
      <w:r>
        <w:rPr>
          <w:rFonts w:cs="TimesNewRomanPSMT"/>
          <w:sz w:val="24"/>
          <w:szCs w:val="24"/>
          <w:lang w:val="lt-LT"/>
        </w:rPr>
        <w:t>Aštrūs</w:t>
      </w:r>
    </w:p>
    <w:p w14:paraId="5EAE4574" w14:textId="4C2D48E6" w:rsidR="009B24A5" w:rsidRDefault="009B24A5" w:rsidP="009B24A5">
      <w:pPr>
        <w:rPr>
          <w:rFonts w:cs="TimesNewRomanPSMT"/>
          <w:sz w:val="24"/>
          <w:szCs w:val="24"/>
          <w:lang w:val="lt-LT"/>
        </w:rPr>
      </w:pPr>
      <w:r>
        <w:rPr>
          <w:rFonts w:cs="TimesNewRomanPSMT"/>
          <w:sz w:val="24"/>
          <w:szCs w:val="24"/>
          <w:lang w:val="lt-LT"/>
        </w:rPr>
        <w:t>Suapvalėję</w:t>
      </w:r>
    </w:p>
    <w:p w14:paraId="0C54159E" w14:textId="05C3B816" w:rsidR="009B24A5" w:rsidRPr="00172427" w:rsidRDefault="009B24A5" w:rsidP="009B24A5">
      <w:pPr>
        <w:rPr>
          <w:rFonts w:cs="TimesNewRomanPSMT"/>
          <w:b/>
          <w:bCs/>
          <w:sz w:val="24"/>
          <w:szCs w:val="24"/>
          <w:lang w:val="lt-LT"/>
        </w:rPr>
      </w:pPr>
      <w:r w:rsidRPr="00172427">
        <w:rPr>
          <w:rFonts w:cs="TimesNewRomanPSMT"/>
          <w:b/>
          <w:bCs/>
          <w:sz w:val="24"/>
          <w:szCs w:val="24"/>
          <w:lang w:val="lt-LT"/>
        </w:rPr>
        <w:t>Kepenų kraujagyslės:</w:t>
      </w:r>
    </w:p>
    <w:p w14:paraId="4079D4EC" w14:textId="02844BC4" w:rsidR="009B24A5" w:rsidRDefault="009B24A5" w:rsidP="009B24A5">
      <w:pPr>
        <w:rPr>
          <w:rFonts w:cs="TimesNewRomanPSMT"/>
          <w:sz w:val="24"/>
          <w:szCs w:val="24"/>
          <w:lang w:val="lt-LT"/>
        </w:rPr>
      </w:pPr>
      <w:r>
        <w:rPr>
          <w:rFonts w:cs="TimesNewRomanPSMT"/>
          <w:sz w:val="24"/>
          <w:szCs w:val="24"/>
          <w:lang w:val="lt-LT"/>
        </w:rPr>
        <w:t>Neišsiplėtusios</w:t>
      </w:r>
    </w:p>
    <w:p w14:paraId="2D09D31C" w14:textId="099BB1E9" w:rsidR="009B24A5" w:rsidRDefault="009B24A5" w:rsidP="009B24A5">
      <w:pPr>
        <w:rPr>
          <w:rFonts w:cs="TimesNewRomanPSMT"/>
          <w:sz w:val="24"/>
          <w:szCs w:val="24"/>
          <w:lang w:val="lt-LT"/>
        </w:rPr>
      </w:pPr>
      <w:r>
        <w:rPr>
          <w:rFonts w:cs="TimesNewRomanPSMT"/>
          <w:sz w:val="24"/>
          <w:szCs w:val="24"/>
          <w:lang w:val="lt-LT"/>
        </w:rPr>
        <w:t>Išsiplėtusios</w:t>
      </w:r>
    </w:p>
    <w:p w14:paraId="19E937F6" w14:textId="632272DE" w:rsidR="009B24A5" w:rsidRPr="00172427" w:rsidRDefault="009B24A5" w:rsidP="009B24A5">
      <w:pPr>
        <w:rPr>
          <w:rFonts w:cs="TimesNewRomanPSMT"/>
          <w:b/>
          <w:bCs/>
          <w:sz w:val="24"/>
          <w:szCs w:val="24"/>
          <w:lang w:val="lt-LT"/>
        </w:rPr>
      </w:pPr>
      <w:r w:rsidRPr="00172427">
        <w:rPr>
          <w:rFonts w:cs="TimesNewRomanPSMT"/>
          <w:b/>
          <w:bCs/>
          <w:sz w:val="24"/>
          <w:szCs w:val="24"/>
          <w:lang w:val="lt-LT"/>
        </w:rPr>
        <w:t>Tulžies pūslės sienelė:</w:t>
      </w:r>
    </w:p>
    <w:p w14:paraId="3B9D9394" w14:textId="3693F85E" w:rsidR="009B24A5" w:rsidRDefault="009B24A5" w:rsidP="009B24A5">
      <w:pPr>
        <w:rPr>
          <w:rFonts w:cs="TimesNewRomanPSMT"/>
          <w:sz w:val="24"/>
          <w:szCs w:val="24"/>
          <w:lang w:val="lt-LT"/>
        </w:rPr>
      </w:pPr>
      <w:r>
        <w:rPr>
          <w:rFonts w:cs="TimesNewRomanPSMT"/>
          <w:sz w:val="24"/>
          <w:szCs w:val="24"/>
          <w:lang w:val="lt-LT"/>
        </w:rPr>
        <w:t>Nesustorėjusi</w:t>
      </w:r>
    </w:p>
    <w:p w14:paraId="5829A128" w14:textId="135F3F9D" w:rsidR="009B24A5" w:rsidRDefault="009B24A5" w:rsidP="009B24A5">
      <w:pPr>
        <w:rPr>
          <w:rFonts w:cs="TimesNewRomanPSMT"/>
          <w:sz w:val="24"/>
          <w:szCs w:val="24"/>
          <w:lang w:val="lt-LT"/>
        </w:rPr>
      </w:pPr>
      <w:r>
        <w:rPr>
          <w:rFonts w:cs="TimesNewRomanPSMT"/>
          <w:sz w:val="24"/>
          <w:szCs w:val="24"/>
          <w:lang w:val="lt-LT"/>
        </w:rPr>
        <w:t>Sustorėjusi</w:t>
      </w:r>
    </w:p>
    <w:p w14:paraId="48182BD2" w14:textId="29A86517" w:rsidR="009B24A5" w:rsidRPr="00172427" w:rsidRDefault="009B24A5" w:rsidP="009B24A5">
      <w:pPr>
        <w:rPr>
          <w:rFonts w:cs="TimesNewRomanPSMT"/>
          <w:b/>
          <w:bCs/>
          <w:sz w:val="24"/>
          <w:szCs w:val="24"/>
          <w:lang w:val="lt-LT"/>
        </w:rPr>
      </w:pPr>
      <w:r w:rsidRPr="00172427">
        <w:rPr>
          <w:rFonts w:cs="TimesNewRomanPSMT"/>
          <w:b/>
          <w:bCs/>
          <w:sz w:val="24"/>
          <w:szCs w:val="24"/>
          <w:lang w:val="lt-LT"/>
        </w:rPr>
        <w:t>Tulžies pūslės sienelės storis, cm</w:t>
      </w:r>
    </w:p>
    <w:p w14:paraId="3C3AEA50" w14:textId="1AC9B94F" w:rsidR="009B24A5" w:rsidRDefault="009B24A5" w:rsidP="009B24A5">
      <w:pPr>
        <w:rPr>
          <w:rFonts w:cs="TimesNewRomanPSMT"/>
          <w:sz w:val="24"/>
          <w:szCs w:val="24"/>
          <w:lang w:val="lt-LT"/>
        </w:rPr>
      </w:pPr>
      <w:r>
        <w:rPr>
          <w:rFonts w:cs="TimesNewRomanPSMT"/>
          <w:sz w:val="24"/>
          <w:szCs w:val="24"/>
          <w:lang w:val="lt-LT"/>
        </w:rPr>
        <w:t>Bendrasis tulžies latakas</w:t>
      </w:r>
    </w:p>
    <w:p w14:paraId="47D6CA1D" w14:textId="4DC0954C" w:rsidR="009B24A5" w:rsidRDefault="009B24A5" w:rsidP="009B24A5">
      <w:pPr>
        <w:rPr>
          <w:rFonts w:cs="TimesNewRomanPSMT"/>
          <w:sz w:val="24"/>
          <w:szCs w:val="24"/>
          <w:lang w:val="lt-LT"/>
        </w:rPr>
      </w:pPr>
      <w:r>
        <w:rPr>
          <w:rFonts w:cs="TimesNewRomanPSMT"/>
          <w:sz w:val="24"/>
          <w:szCs w:val="24"/>
          <w:lang w:val="lt-LT"/>
        </w:rPr>
        <w:t>Neprasiplėtęs prasiplėtęs</w:t>
      </w:r>
    </w:p>
    <w:p w14:paraId="702C51DC" w14:textId="6C0FD708" w:rsidR="009B24A5" w:rsidRPr="00172427" w:rsidRDefault="009B24A5" w:rsidP="009B24A5">
      <w:pPr>
        <w:rPr>
          <w:rFonts w:cs="TimesNewRomanPSMT"/>
          <w:b/>
          <w:bCs/>
          <w:sz w:val="24"/>
          <w:szCs w:val="24"/>
        </w:rPr>
      </w:pPr>
      <w:r w:rsidRPr="00172427">
        <w:rPr>
          <w:rFonts w:cs="TimesNewRomanPSMT"/>
          <w:b/>
          <w:bCs/>
          <w:sz w:val="24"/>
          <w:szCs w:val="24"/>
          <w:lang w:val="lt-LT"/>
        </w:rPr>
        <w:t>Bendrojo tul</w:t>
      </w:r>
      <w:r w:rsidR="00172427" w:rsidRPr="00172427">
        <w:rPr>
          <w:rFonts w:cs="TimesNewRomanPSMT"/>
          <w:b/>
          <w:bCs/>
          <w:sz w:val="24"/>
          <w:szCs w:val="24"/>
          <w:lang w:val="lt-LT"/>
        </w:rPr>
        <w:t>žies latako skersmuo,cm</w:t>
      </w:r>
    </w:p>
    <w:p w14:paraId="3A56C306" w14:textId="36B942A5" w:rsidR="009B24A5" w:rsidRDefault="009B24A5" w:rsidP="009B24A5">
      <w:pPr>
        <w:rPr>
          <w:rFonts w:cs="TimesNewRomanPSMT"/>
          <w:b/>
          <w:bCs/>
          <w:sz w:val="24"/>
          <w:szCs w:val="24"/>
          <w:lang w:val="lt-LT"/>
        </w:rPr>
      </w:pPr>
      <w:r w:rsidRPr="00172427">
        <w:rPr>
          <w:rFonts w:cs="TimesNewRomanPSMT"/>
          <w:b/>
          <w:bCs/>
          <w:sz w:val="24"/>
          <w:szCs w:val="24"/>
          <w:lang w:val="lt-LT"/>
        </w:rPr>
        <w:t>Text area sedimentai, masės etc</w:t>
      </w:r>
    </w:p>
    <w:p w14:paraId="7C3E8DC7" w14:textId="06D20355" w:rsidR="00172427" w:rsidRDefault="00172427" w:rsidP="009B24A5">
      <w:pPr>
        <w:rPr>
          <w:rFonts w:cs="TimesNewRomanPSMT"/>
          <w:b/>
          <w:bCs/>
          <w:sz w:val="24"/>
          <w:szCs w:val="24"/>
          <w:lang w:val="lt-LT"/>
        </w:rPr>
      </w:pPr>
    </w:p>
    <w:p w14:paraId="41D6870E" w14:textId="5E08003F" w:rsidR="00172427" w:rsidRDefault="00172427" w:rsidP="009B24A5">
      <w:pPr>
        <w:rPr>
          <w:rFonts w:cs="TimesNewRomanPSMT"/>
          <w:b/>
          <w:bCs/>
          <w:sz w:val="24"/>
          <w:szCs w:val="24"/>
          <w:lang w:val="lt-LT"/>
        </w:rPr>
      </w:pPr>
    </w:p>
    <w:p w14:paraId="73FE5AC2" w14:textId="7FECB790" w:rsidR="00172427" w:rsidRDefault="00172427" w:rsidP="009B24A5">
      <w:pPr>
        <w:rPr>
          <w:rFonts w:cs="TimesNewRomanPSMT"/>
          <w:b/>
          <w:bCs/>
          <w:sz w:val="24"/>
          <w:szCs w:val="24"/>
          <w:lang w:val="lt-LT"/>
        </w:rPr>
      </w:pPr>
    </w:p>
    <w:p w14:paraId="196DD0D8" w14:textId="46D7C0D6" w:rsidR="00172427" w:rsidRDefault="00172427" w:rsidP="00172427">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lastRenderedPageBreak/>
        <w:t xml:space="preserve">Norma </w:t>
      </w:r>
      <w:proofErr w:type="spellStart"/>
      <w:r>
        <w:rPr>
          <w:rFonts w:ascii="PalatinoLTStd-Roman" w:hAnsi="PalatinoLTStd-Roman" w:cs="PalatinoLTStd-Roman"/>
          <w:color w:val="231F20"/>
          <w:sz w:val="20"/>
          <w:szCs w:val="20"/>
        </w:rPr>
        <w:t>kepenys</w:t>
      </w:r>
      <w:proofErr w:type="spellEnd"/>
    </w:p>
    <w:p w14:paraId="6479F71C" w14:textId="16FFDFE1" w:rsidR="00172427" w:rsidRDefault="00172427" w:rsidP="00172427">
      <w:pPr>
        <w:autoSpaceDE w:val="0"/>
        <w:autoSpaceDN w:val="0"/>
        <w:adjustRightInd w:val="0"/>
        <w:spacing w:after="0" w:line="240" w:lineRule="auto"/>
        <w:rPr>
          <w:rFonts w:ascii="PalatinoLTStd-Roman" w:hAnsi="PalatinoLTStd-Roman" w:cs="PalatinoLTStd-Roman"/>
          <w:color w:val="231F20"/>
          <w:sz w:val="20"/>
          <w:szCs w:val="20"/>
        </w:rPr>
      </w:pPr>
    </w:p>
    <w:p w14:paraId="713C6AC4" w14:textId="35D8CB9A" w:rsidR="00AD4C8D" w:rsidRDefault="00AD4C8D" w:rsidP="00172427">
      <w:pPr>
        <w:autoSpaceDE w:val="0"/>
        <w:autoSpaceDN w:val="0"/>
        <w:adjustRightInd w:val="0"/>
        <w:spacing w:after="0" w:line="240" w:lineRule="auto"/>
        <w:rPr>
          <w:rFonts w:ascii="PalatinoLTStd-Roman" w:hAnsi="PalatinoLTStd-Roman" w:cs="PalatinoLTStd-Roman"/>
          <w:color w:val="231F20"/>
          <w:sz w:val="20"/>
          <w:szCs w:val="20"/>
        </w:rPr>
      </w:pPr>
    </w:p>
    <w:p w14:paraId="5907AA16" w14:textId="59DABB04" w:rsidR="00AD4C8D" w:rsidRDefault="00A75C05" w:rsidP="00172427">
      <w:pPr>
        <w:autoSpaceDE w:val="0"/>
        <w:autoSpaceDN w:val="0"/>
        <w:adjustRightInd w:val="0"/>
        <w:spacing w:after="0" w:line="240" w:lineRule="auto"/>
        <w:rPr>
          <w:rFonts w:cs="PalatinoLTStd-Roman"/>
          <w:color w:val="231F20"/>
          <w:sz w:val="20"/>
          <w:szCs w:val="20"/>
          <w:lang w:val="lt-LT"/>
        </w:rPr>
      </w:pPr>
      <w:r>
        <w:rPr>
          <w:rFonts w:cs="PalatinoLTStd-Roman"/>
          <w:color w:val="231F20"/>
          <w:sz w:val="20"/>
          <w:szCs w:val="20"/>
          <w:lang w:val="lt-LT"/>
        </w:rPr>
        <w:t xml:space="preserve">Šunų ir kačių kepenys sudarytos iš kairės skilties, </w:t>
      </w:r>
    </w:p>
    <w:p w14:paraId="3745679D" w14:textId="7CA4BFBB" w:rsidR="00FF0F76" w:rsidRDefault="00FF0F76" w:rsidP="00172427">
      <w:pPr>
        <w:autoSpaceDE w:val="0"/>
        <w:autoSpaceDN w:val="0"/>
        <w:adjustRightInd w:val="0"/>
        <w:spacing w:after="0" w:line="240" w:lineRule="auto"/>
        <w:rPr>
          <w:rFonts w:cs="PalatinoLTStd-Roman"/>
          <w:color w:val="231F20"/>
          <w:sz w:val="20"/>
          <w:szCs w:val="20"/>
          <w:lang w:val="lt-LT"/>
        </w:rPr>
      </w:pPr>
    </w:p>
    <w:p w14:paraId="575C76FF" w14:textId="568DFE60" w:rsidR="00FF0F76" w:rsidRDefault="00B96031" w:rsidP="00172427">
      <w:pPr>
        <w:autoSpaceDE w:val="0"/>
        <w:autoSpaceDN w:val="0"/>
        <w:adjustRightInd w:val="0"/>
        <w:spacing w:after="0" w:line="240" w:lineRule="auto"/>
        <w:rPr>
          <w:rFonts w:cs="PalatinoLTStd-Roman"/>
          <w:color w:val="231F20"/>
          <w:sz w:val="20"/>
          <w:szCs w:val="20"/>
          <w:lang w:val="lt-LT"/>
        </w:rPr>
      </w:pPr>
      <w:r>
        <w:rPr>
          <w:rFonts w:cs="PalatinoLTStd-Roman"/>
          <w:color w:val="231F20"/>
          <w:sz w:val="20"/>
          <w:szCs w:val="20"/>
          <w:lang w:val="lt-LT"/>
        </w:rPr>
        <w:t xml:space="preserve">Didžioji dalis kepenų lokalizuota po šonkauliu lanku. </w:t>
      </w:r>
      <w:r w:rsidR="00FF0F76">
        <w:rPr>
          <w:rFonts w:cs="PalatinoLTStd-Roman"/>
          <w:color w:val="231F20"/>
          <w:sz w:val="20"/>
          <w:szCs w:val="20"/>
          <w:lang w:val="lt-LT"/>
        </w:rPr>
        <w:t xml:space="preserve">Kairioji skiltis yra didžiausia ir suformuoja nuo trečdalio iki pusės visų kepenų. Kairioji skiltis savo kraštu liečią tulžies pūslę. Kvadratinė skiltis yra centre ir dalinai apgaubia tulžies pūslę. Dešnė tulžies pusės sienelė liečiasi su medialiniu dešniosios medialinės skilties šonu. Uodeginės skilties uodeginė atauga yra dešniausiai lokalizuota kepenų dalis ir dažnai siekia dešnijį insktą. </w:t>
      </w:r>
    </w:p>
    <w:p w14:paraId="20649DD7" w14:textId="4F080956" w:rsidR="00B96031" w:rsidRDefault="00B96031" w:rsidP="00172427">
      <w:pPr>
        <w:autoSpaceDE w:val="0"/>
        <w:autoSpaceDN w:val="0"/>
        <w:adjustRightInd w:val="0"/>
        <w:spacing w:after="0" w:line="240" w:lineRule="auto"/>
        <w:rPr>
          <w:rFonts w:cs="PalatinoLTStd-Roman"/>
          <w:color w:val="231F20"/>
          <w:sz w:val="20"/>
          <w:szCs w:val="20"/>
          <w:lang w:val="lt-LT"/>
        </w:rPr>
      </w:pPr>
    </w:p>
    <w:p w14:paraId="025B05FB" w14:textId="7583F1AC" w:rsidR="00B96031" w:rsidRDefault="00B96031" w:rsidP="00172427">
      <w:pPr>
        <w:autoSpaceDE w:val="0"/>
        <w:autoSpaceDN w:val="0"/>
        <w:adjustRightInd w:val="0"/>
        <w:spacing w:after="0" w:line="240" w:lineRule="auto"/>
        <w:rPr>
          <w:rFonts w:cs="PalatinoLTStd-Roman"/>
          <w:color w:val="231F20"/>
          <w:sz w:val="20"/>
          <w:szCs w:val="20"/>
          <w:lang w:val="lt-LT"/>
        </w:rPr>
      </w:pPr>
      <w:r>
        <w:rPr>
          <w:rFonts w:cs="PalatinoLTStd-Roman"/>
          <w:color w:val="231F20"/>
          <w:sz w:val="20"/>
          <w:szCs w:val="20"/>
          <w:lang w:val="lt-LT"/>
        </w:rPr>
        <w:t xml:space="preserve">Normali kepenų parenchima yra difuziškai hipoechoiška, su šiurkštesne echotekstūra lyginant su blužnimi. </w:t>
      </w:r>
      <w:r w:rsidR="00E232C4">
        <w:rPr>
          <w:rFonts w:cs="PalatinoLTStd-Roman"/>
          <w:color w:val="231F20"/>
          <w:sz w:val="20"/>
          <w:szCs w:val="20"/>
          <w:lang w:val="lt-LT"/>
        </w:rPr>
        <w:t>Kepenų echogeniškumas lyginant su inkstų žieve yra labiau varijuojantis, bet dažniausiai hiperechoiškas/izoechoiškas. Kepenų kraštai yra aštrūs, dėl hepatomegalijos gali apvalėti.</w:t>
      </w:r>
    </w:p>
    <w:p w14:paraId="7D590FBA" w14:textId="5CBD5804" w:rsidR="00E232C4" w:rsidRDefault="00E232C4" w:rsidP="00172427">
      <w:pPr>
        <w:autoSpaceDE w:val="0"/>
        <w:autoSpaceDN w:val="0"/>
        <w:adjustRightInd w:val="0"/>
        <w:spacing w:after="0" w:line="240" w:lineRule="auto"/>
        <w:rPr>
          <w:rFonts w:cs="PalatinoLTStd-Roman"/>
          <w:color w:val="231F20"/>
          <w:sz w:val="20"/>
          <w:szCs w:val="20"/>
          <w:lang w:val="lt-LT"/>
        </w:rPr>
      </w:pPr>
    </w:p>
    <w:p w14:paraId="66E67E9F" w14:textId="769E93D0" w:rsidR="00E232C4" w:rsidRDefault="00E232C4" w:rsidP="00172427">
      <w:pPr>
        <w:autoSpaceDE w:val="0"/>
        <w:autoSpaceDN w:val="0"/>
        <w:adjustRightInd w:val="0"/>
        <w:spacing w:after="0" w:line="240" w:lineRule="auto"/>
        <w:rPr>
          <w:rFonts w:cs="PalatinoLTStd-Roman"/>
          <w:color w:val="231F20"/>
          <w:sz w:val="20"/>
          <w:szCs w:val="20"/>
          <w:lang w:val="lt-LT"/>
        </w:rPr>
      </w:pPr>
      <w:r>
        <w:rPr>
          <w:rFonts w:cs="PalatinoLTStd-Roman"/>
          <w:color w:val="231F20"/>
          <w:sz w:val="20"/>
          <w:szCs w:val="20"/>
          <w:lang w:val="lt-LT"/>
        </w:rPr>
        <w:t>Falciforminis raištis yra sudarytas iš riebalinio audinio ir lokalizuotas tarp dešnės ir kairės kepenų skilčių, dorsaliai kardinei (xyphoid) krūtikaulio ataugai. Raisčio struktūra prastai išreikšta, dažniausiai izoechoiška/hiperechoiška kepenų parenchimai. Nutukusios katės gali turėti kepenis, kurios yra hiperechoiškos lyginant su falciforminiu raisčiu.</w:t>
      </w:r>
    </w:p>
    <w:p w14:paraId="3C998A00" w14:textId="1E8D4E43" w:rsidR="00E232C4" w:rsidRDefault="00E232C4" w:rsidP="00172427">
      <w:pPr>
        <w:autoSpaceDE w:val="0"/>
        <w:autoSpaceDN w:val="0"/>
        <w:adjustRightInd w:val="0"/>
        <w:spacing w:after="0" w:line="240" w:lineRule="auto"/>
        <w:rPr>
          <w:rFonts w:cs="PalatinoLTStd-Roman"/>
          <w:color w:val="231F20"/>
          <w:sz w:val="20"/>
          <w:szCs w:val="20"/>
          <w:lang w:val="lt-LT"/>
        </w:rPr>
      </w:pPr>
    </w:p>
    <w:p w14:paraId="2E0026A0" w14:textId="56D68A23" w:rsidR="00E232C4" w:rsidRDefault="00E232C4" w:rsidP="00172427">
      <w:pPr>
        <w:autoSpaceDE w:val="0"/>
        <w:autoSpaceDN w:val="0"/>
        <w:adjustRightInd w:val="0"/>
        <w:spacing w:after="0" w:line="240" w:lineRule="auto"/>
        <w:rPr>
          <w:rFonts w:cs="PalatinoLTStd-Roman"/>
          <w:color w:val="231F20"/>
          <w:sz w:val="20"/>
          <w:szCs w:val="20"/>
          <w:lang w:val="lt-LT"/>
        </w:rPr>
      </w:pPr>
    </w:p>
    <w:p w14:paraId="7F7E3B86" w14:textId="0F1D195D" w:rsidR="00E232C4" w:rsidRDefault="00E232C4" w:rsidP="00172427">
      <w:pPr>
        <w:autoSpaceDE w:val="0"/>
        <w:autoSpaceDN w:val="0"/>
        <w:adjustRightInd w:val="0"/>
        <w:spacing w:after="0" w:line="240" w:lineRule="auto"/>
        <w:rPr>
          <w:rFonts w:cs="PalatinoLTStd-Roman"/>
          <w:color w:val="231F20"/>
          <w:sz w:val="20"/>
          <w:szCs w:val="20"/>
          <w:lang w:val="lt-LT"/>
        </w:rPr>
      </w:pPr>
    </w:p>
    <w:p w14:paraId="6A62C3A6" w14:textId="7B2551B2" w:rsidR="004116AD" w:rsidRDefault="004116AD" w:rsidP="00172427">
      <w:pPr>
        <w:autoSpaceDE w:val="0"/>
        <w:autoSpaceDN w:val="0"/>
        <w:adjustRightInd w:val="0"/>
        <w:spacing w:after="0" w:line="240" w:lineRule="auto"/>
        <w:rPr>
          <w:rFonts w:cs="PalatinoLTStd-Roman"/>
          <w:color w:val="231F20"/>
          <w:sz w:val="20"/>
          <w:szCs w:val="20"/>
          <w:lang w:val="lt-LT"/>
        </w:rPr>
      </w:pPr>
      <w:r>
        <w:rPr>
          <w:rFonts w:cs="PalatinoLTStd-Roman"/>
          <w:color w:val="231F20"/>
          <w:sz w:val="20"/>
          <w:szCs w:val="20"/>
          <w:lang w:val="lt-LT"/>
        </w:rPr>
        <w:t>Difuziniai parenchimo pakitimia</w:t>
      </w:r>
    </w:p>
    <w:p w14:paraId="61BC1585" w14:textId="079272E6" w:rsidR="004116AD" w:rsidRDefault="004116AD" w:rsidP="00172427">
      <w:pPr>
        <w:autoSpaceDE w:val="0"/>
        <w:autoSpaceDN w:val="0"/>
        <w:adjustRightInd w:val="0"/>
        <w:spacing w:after="0" w:line="240" w:lineRule="auto"/>
        <w:rPr>
          <w:rFonts w:cs="PalatinoLTStd-Roman"/>
          <w:color w:val="231F20"/>
          <w:sz w:val="20"/>
          <w:szCs w:val="20"/>
          <w:lang w:val="lt-LT"/>
        </w:rPr>
      </w:pPr>
    </w:p>
    <w:p w14:paraId="7D582EF1" w14:textId="77777777" w:rsidR="00E232C4" w:rsidRDefault="00E232C4" w:rsidP="00172427">
      <w:pPr>
        <w:autoSpaceDE w:val="0"/>
        <w:autoSpaceDN w:val="0"/>
        <w:adjustRightInd w:val="0"/>
        <w:spacing w:after="0" w:line="240" w:lineRule="auto"/>
        <w:rPr>
          <w:rFonts w:cs="PalatinoLTStd-Roman"/>
          <w:color w:val="231F20"/>
          <w:sz w:val="20"/>
          <w:szCs w:val="20"/>
          <w:lang w:val="lt-LT"/>
        </w:rPr>
      </w:pPr>
    </w:p>
    <w:p w14:paraId="59B29F00" w14:textId="348AB305" w:rsidR="00B96031" w:rsidRDefault="00B96031" w:rsidP="00B96031">
      <w:pPr>
        <w:autoSpaceDE w:val="0"/>
        <w:autoSpaceDN w:val="0"/>
        <w:adjustRightInd w:val="0"/>
        <w:spacing w:after="0" w:line="240" w:lineRule="auto"/>
        <w:rPr>
          <w:rFonts w:ascii="PalatinoLTStd-Roman" w:hAnsi="PalatinoLTStd-Roman" w:cs="PalatinoLTStd-Roman"/>
          <w:color w:val="231F20"/>
          <w:sz w:val="20"/>
          <w:szCs w:val="20"/>
        </w:rPr>
      </w:pPr>
    </w:p>
    <w:p w14:paraId="7B471543" w14:textId="77777777" w:rsidR="00E232C4" w:rsidRDefault="00E232C4" w:rsidP="00E232C4">
      <w:pPr>
        <w:autoSpaceDE w:val="0"/>
        <w:autoSpaceDN w:val="0"/>
        <w:adjustRightInd w:val="0"/>
        <w:spacing w:after="0" w:line="240" w:lineRule="auto"/>
        <w:rPr>
          <w:rFonts w:ascii="UniversLTStd-BoldObl" w:hAnsi="UniversLTStd-BoldObl" w:cs="UniversLTStd-BoldObl"/>
          <w:b/>
          <w:bCs/>
          <w:i/>
          <w:iCs/>
          <w:color w:val="C6692F"/>
          <w:sz w:val="24"/>
          <w:szCs w:val="24"/>
        </w:rPr>
      </w:pPr>
      <w:r>
        <w:rPr>
          <w:rFonts w:ascii="UniversLTStd-BoldObl" w:hAnsi="UniversLTStd-BoldObl" w:cs="UniversLTStd-BoldObl"/>
          <w:b/>
          <w:bCs/>
          <w:i/>
          <w:iCs/>
          <w:color w:val="C6692F"/>
          <w:sz w:val="24"/>
          <w:szCs w:val="24"/>
        </w:rPr>
        <w:t>Diffuse Hepatic Parenchymal Disorders</w:t>
      </w:r>
    </w:p>
    <w:p w14:paraId="71079523"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Diffuse hepatic disorders can be difficult to differentiate</w:t>
      </w:r>
    </w:p>
    <w:p w14:paraId="4AF14BD6"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from poorly defined multifocal diseases. Typically,</w:t>
      </w:r>
    </w:p>
    <w:p w14:paraId="25F72EC7"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these disorders affect all lobes, although not always</w:t>
      </w:r>
    </w:p>
    <w:p w14:paraId="16CA6090"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uniformly. The parenchymal echogenicity can be</w:t>
      </w:r>
    </w:p>
    <w:p w14:paraId="6CE726BD"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increased, reduced, or unaffected. These disorders can</w:t>
      </w:r>
    </w:p>
    <w:p w14:paraId="7AC603DD"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also affect the parenchymal uniformity and distort the</w:t>
      </w:r>
    </w:p>
    <w:p w14:paraId="198F2202"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hepatic margin. The evaluation of the liver contour</w:t>
      </w:r>
    </w:p>
    <w:p w14:paraId="23186FC9"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is facilitated by the presence of peritoneal effusion</w:t>
      </w:r>
    </w:p>
    <w:p w14:paraId="7B852950"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 xml:space="preserve">(Figure 6.2). </w:t>
      </w:r>
      <w:proofErr w:type="gramStart"/>
      <w:r>
        <w:rPr>
          <w:rFonts w:ascii="PalatinoLTStd-Roman" w:hAnsi="PalatinoLTStd-Roman" w:cs="PalatinoLTStd-Roman"/>
          <w:color w:val="231F20"/>
          <w:sz w:val="20"/>
          <w:szCs w:val="20"/>
        </w:rPr>
        <w:t>With the exception of</w:t>
      </w:r>
      <w:proofErr w:type="gramEnd"/>
      <w:r>
        <w:rPr>
          <w:rFonts w:ascii="PalatinoLTStd-Roman" w:hAnsi="PalatinoLTStd-Roman" w:cs="PalatinoLTStd-Roman"/>
          <w:color w:val="231F20"/>
          <w:sz w:val="20"/>
          <w:szCs w:val="20"/>
        </w:rPr>
        <w:t xml:space="preserve"> congenital portal</w:t>
      </w:r>
    </w:p>
    <w:p w14:paraId="3E8EE437"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vascular anomalies, such as portosystemic shunting,</w:t>
      </w:r>
    </w:p>
    <w:p w14:paraId="0AD5D917"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chronic hepatitis, and cirrhosis, most disorders tend</w:t>
      </w:r>
    </w:p>
    <w:p w14:paraId="48F6094B"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to be associated with symmetrical or asymmetrical</w:t>
      </w:r>
    </w:p>
    <w:p w14:paraId="21CF5618"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hepatomegaly. Two or more hepatic disorders,</w:t>
      </w:r>
    </w:p>
    <w:p w14:paraId="2A269403"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such as hepatitis, vacuolar hepatopathy, or nodular</w:t>
      </w:r>
    </w:p>
    <w:p w14:paraId="250900E5"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hyperplasia, can be found in the same patient, complicating</w:t>
      </w:r>
    </w:p>
    <w:p w14:paraId="657427CE"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the ultrasonographic diagnosis. The correlation</w:t>
      </w:r>
    </w:p>
    <w:p w14:paraId="34280924"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between ultrasound findings and cytological and</w:t>
      </w:r>
    </w:p>
    <w:p w14:paraId="7EF374DA"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 xml:space="preserve">histopathological results </w:t>
      </w:r>
      <w:proofErr w:type="gramStart"/>
      <w:r>
        <w:rPr>
          <w:rFonts w:ascii="PalatinoLTStd-Roman" w:hAnsi="PalatinoLTStd-Roman" w:cs="PalatinoLTStd-Roman"/>
          <w:color w:val="231F20"/>
          <w:sz w:val="20"/>
          <w:szCs w:val="20"/>
        </w:rPr>
        <w:t>is</w:t>
      </w:r>
      <w:proofErr w:type="gramEnd"/>
      <w:r>
        <w:rPr>
          <w:rFonts w:ascii="PalatinoLTStd-Roman" w:hAnsi="PalatinoLTStd-Roman" w:cs="PalatinoLTStd-Roman"/>
          <w:color w:val="231F20"/>
          <w:sz w:val="20"/>
          <w:szCs w:val="20"/>
        </w:rPr>
        <w:t xml:space="preserve"> relatively poor for diffuse</w:t>
      </w:r>
    </w:p>
    <w:p w14:paraId="5CD6DA09"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parenchymal diseases, justifying fine-needle aspiration</w:t>
      </w:r>
    </w:p>
    <w:p w14:paraId="39777B70"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cytology, or ideally biopsy, in most cases (Feeney DA</w:t>
      </w:r>
    </w:p>
    <w:p w14:paraId="37C74E4E"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 xml:space="preserve">et al. 2008; Guillot et al. </w:t>
      </w:r>
      <w:proofErr w:type="gramStart"/>
      <w:r>
        <w:rPr>
          <w:rFonts w:ascii="PalatinoLTStd-Roman" w:hAnsi="PalatinoLTStd-Roman" w:cs="PalatinoLTStd-Roman"/>
          <w:color w:val="231F20"/>
          <w:sz w:val="20"/>
          <w:szCs w:val="20"/>
        </w:rPr>
        <w:t>2009;Warren</w:t>
      </w:r>
      <w:proofErr w:type="gramEnd"/>
      <w:r>
        <w:rPr>
          <w:rFonts w:ascii="PalatinoLTStd-Roman" w:hAnsi="PalatinoLTStd-Roman" w:cs="PalatinoLTStd-Roman"/>
          <w:color w:val="231F20"/>
          <w:sz w:val="20"/>
          <w:szCs w:val="20"/>
        </w:rPr>
        <w:t>-Smith et al. 2012;</w:t>
      </w:r>
    </w:p>
    <w:p w14:paraId="7413DF46"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Kemp et al. 2013). Table 6.1 lists the typical diagnostic</w:t>
      </w:r>
    </w:p>
    <w:p w14:paraId="39697192"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differential for diffuse changes in hepatic parenchymal</w:t>
      </w:r>
    </w:p>
    <w:p w14:paraId="1D36D2AC"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lastRenderedPageBreak/>
        <w:t>echogenicity, and Table 6.2 lists the causes of diffuse or</w:t>
      </w:r>
    </w:p>
    <w:p w14:paraId="48028F7F" w14:textId="44E329CA" w:rsidR="00B96031"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focal/asymmetrical hepatomegaly.</w:t>
      </w:r>
    </w:p>
    <w:p w14:paraId="59C70831" w14:textId="43922986"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p>
    <w:p w14:paraId="594FDED5" w14:textId="7C3E401F" w:rsidR="00E232C4" w:rsidRDefault="00EC4F60" w:rsidP="00E232C4">
      <w:pPr>
        <w:autoSpaceDE w:val="0"/>
        <w:autoSpaceDN w:val="0"/>
        <w:adjustRightInd w:val="0"/>
        <w:spacing w:after="0" w:line="240" w:lineRule="auto"/>
        <w:rPr>
          <w:rFonts w:ascii="PalatinoLTStd-Roman" w:hAnsi="PalatinoLTStd-Roman" w:cs="PalatinoLTStd-Roman"/>
          <w:color w:val="231F20"/>
          <w:sz w:val="20"/>
          <w:szCs w:val="20"/>
        </w:rPr>
      </w:pPr>
      <w:proofErr w:type="spellStart"/>
      <w:r>
        <w:rPr>
          <w:rFonts w:ascii="PalatinoLTStd-Roman" w:hAnsi="PalatinoLTStd-Roman" w:cs="PalatinoLTStd-Roman"/>
          <w:color w:val="231F20"/>
          <w:sz w:val="20"/>
          <w:szCs w:val="20"/>
        </w:rPr>
        <w:t>Difuzinės</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kepenų</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ligos</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paveikia</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kepenų</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echogeniškumą</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bei</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didį</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Dauguma</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kepenų</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ligų</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sukelia</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simetrišką</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ar</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asimetrišką</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hepatomegaliją</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i</w:t>
      </w:r>
      <w:r>
        <w:rPr>
          <w:rFonts w:ascii="PalatinoLTStd-Roman" w:hAnsi="PalatinoLTStd-Roman" w:cs="PalatinoLTStd-Roman"/>
          <w:color w:val="231F20"/>
          <w:sz w:val="20"/>
          <w:szCs w:val="20"/>
        </w:rPr>
        <w:t>šskyrus</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portosisteminius</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šuntus</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cirozę</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chroninį</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hepatit</w:t>
      </w:r>
      <w:r>
        <w:rPr>
          <w:rFonts w:ascii="PalatinoLTStd-Roman" w:hAnsi="PalatinoLTStd-Roman" w:cs="PalatinoLTStd-Roman"/>
          <w:color w:val="231F20"/>
          <w:sz w:val="20"/>
          <w:szCs w:val="20"/>
        </w:rPr>
        <w:t>ą</w:t>
      </w:r>
      <w:proofErr w:type="spellEnd"/>
      <w:r>
        <w:rPr>
          <w:rFonts w:ascii="PalatinoLTStd-Roman" w:hAnsi="PalatinoLTStd-Roman" w:cs="PalatinoLTStd-Roman"/>
          <w:color w:val="231F20"/>
          <w:sz w:val="20"/>
          <w:szCs w:val="20"/>
        </w:rPr>
        <w:t xml:space="preserve">. Vis </w:t>
      </w:r>
      <w:proofErr w:type="spellStart"/>
      <w:r>
        <w:rPr>
          <w:rFonts w:ascii="PalatinoLTStd-Roman" w:hAnsi="PalatinoLTStd-Roman" w:cs="PalatinoLTStd-Roman"/>
          <w:color w:val="231F20"/>
          <w:sz w:val="20"/>
          <w:szCs w:val="20"/>
        </w:rPr>
        <w:t>dėlto</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padidėjusios</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kepenys</w:t>
      </w:r>
      <w:proofErr w:type="spellEnd"/>
      <w:r>
        <w:rPr>
          <w:rFonts w:ascii="PalatinoLTStd-Roman" w:hAnsi="PalatinoLTStd-Roman" w:cs="PalatinoLTStd-Roman"/>
          <w:color w:val="231F20"/>
          <w:sz w:val="20"/>
          <w:szCs w:val="20"/>
        </w:rPr>
        <w:t xml:space="preserve"> be </w:t>
      </w:r>
      <w:proofErr w:type="spellStart"/>
      <w:r>
        <w:rPr>
          <w:rFonts w:ascii="PalatinoLTStd-Roman" w:hAnsi="PalatinoLTStd-Roman" w:cs="PalatinoLTStd-Roman"/>
          <w:color w:val="231F20"/>
          <w:sz w:val="20"/>
          <w:szCs w:val="20"/>
        </w:rPr>
        <w:t>echogeniškumo</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pakitimo</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gali</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būti</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dėl</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limfomos</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deseminuotos</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mastocitomos</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ūmaus</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hepatito</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Dažniausios</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diferencinės</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diagnozės</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prie</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hiperechogeniškumo</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steroidų</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sukelta</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hepatopatija</w:t>
      </w:r>
      <w:proofErr w:type="spellEnd"/>
      <w:r>
        <w:rPr>
          <w:rFonts w:ascii="PalatinoLTStd-Roman" w:hAnsi="PalatinoLTStd-Roman" w:cs="PalatinoLTStd-Roman"/>
          <w:color w:val="231F20"/>
          <w:sz w:val="20"/>
          <w:szCs w:val="20"/>
        </w:rPr>
        <w:t xml:space="preserve">, </w:t>
      </w:r>
      <w:proofErr w:type="spellStart"/>
      <w:proofErr w:type="gramStart"/>
      <w:r>
        <w:rPr>
          <w:rFonts w:ascii="PalatinoLTStd-Roman" w:hAnsi="PalatinoLTStd-Roman" w:cs="PalatinoLTStd-Roman"/>
          <w:color w:val="231F20"/>
          <w:sz w:val="20"/>
          <w:szCs w:val="20"/>
        </w:rPr>
        <w:t>lipidozė,chroninis</w:t>
      </w:r>
      <w:proofErr w:type="spellEnd"/>
      <w:proofErr w:type="gram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hepatitas</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fibrozė</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cirozė</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limfoma</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mastocitoma</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Hipoechogeniškumo</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pasyvi</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kraujo</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stazė</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ūmus</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hepatitas</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limfoma</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leukemija</w:t>
      </w:r>
      <w:proofErr w:type="spellEnd"/>
      <w:r>
        <w:rPr>
          <w:rFonts w:ascii="PalatinoLTStd-Roman" w:hAnsi="PalatinoLTStd-Roman" w:cs="PalatinoLTStd-Roman"/>
          <w:color w:val="231F20"/>
          <w:sz w:val="20"/>
          <w:szCs w:val="20"/>
        </w:rPr>
        <w:t xml:space="preserve">, </w:t>
      </w:r>
      <w:proofErr w:type="spellStart"/>
      <w:r>
        <w:rPr>
          <w:rFonts w:ascii="PalatinoLTStd-Roman" w:hAnsi="PalatinoLTStd-Roman" w:cs="PalatinoLTStd-Roman"/>
          <w:color w:val="231F20"/>
          <w:sz w:val="20"/>
          <w:szCs w:val="20"/>
        </w:rPr>
        <w:t>amiloidozė</w:t>
      </w:r>
      <w:proofErr w:type="spellEnd"/>
      <w:r>
        <w:rPr>
          <w:rFonts w:ascii="PalatinoLTStd-Roman" w:hAnsi="PalatinoLTStd-Roman" w:cs="PalatinoLTStd-Roman"/>
          <w:color w:val="231F20"/>
          <w:sz w:val="20"/>
          <w:szCs w:val="20"/>
        </w:rPr>
        <w:t>.</w:t>
      </w:r>
    </w:p>
    <w:p w14:paraId="596E46CA" w14:textId="77777777" w:rsidR="00E232C4" w:rsidRDefault="00E232C4" w:rsidP="00E232C4">
      <w:pPr>
        <w:autoSpaceDE w:val="0"/>
        <w:autoSpaceDN w:val="0"/>
        <w:adjustRightInd w:val="0"/>
        <w:spacing w:after="0" w:line="240" w:lineRule="auto"/>
        <w:rPr>
          <w:rFonts w:ascii="PalatinoLTStd-Roman" w:hAnsi="PalatinoLTStd-Roman" w:cs="PalatinoLTStd-Roman"/>
          <w:color w:val="231F20"/>
          <w:sz w:val="20"/>
          <w:szCs w:val="20"/>
        </w:rPr>
      </w:pPr>
    </w:p>
    <w:p w14:paraId="4D1EF483" w14:textId="77777777" w:rsidR="00AD4C8D" w:rsidRDefault="00AD4C8D" w:rsidP="00172427">
      <w:pPr>
        <w:autoSpaceDE w:val="0"/>
        <w:autoSpaceDN w:val="0"/>
        <w:adjustRightInd w:val="0"/>
        <w:spacing w:after="0" w:line="240" w:lineRule="auto"/>
        <w:rPr>
          <w:rFonts w:ascii="PalatinoLTStd-Roman" w:hAnsi="PalatinoLTStd-Roman" w:cs="PalatinoLTStd-Roman"/>
          <w:color w:val="231F20"/>
          <w:sz w:val="20"/>
          <w:szCs w:val="20"/>
        </w:rPr>
      </w:pPr>
    </w:p>
    <w:p w14:paraId="6F1B11AC" w14:textId="77777777" w:rsidR="00EC4F60" w:rsidRDefault="00EC4F60" w:rsidP="00EC4F60">
      <w:pPr>
        <w:autoSpaceDE w:val="0"/>
        <w:autoSpaceDN w:val="0"/>
        <w:adjustRightInd w:val="0"/>
        <w:spacing w:after="0" w:line="240" w:lineRule="auto"/>
        <w:rPr>
          <w:rFonts w:cs="PalatinoLTStd-Roman"/>
          <w:color w:val="231F20"/>
          <w:sz w:val="20"/>
          <w:szCs w:val="20"/>
          <w:lang w:val="lt-LT"/>
        </w:rPr>
      </w:pPr>
    </w:p>
    <w:p w14:paraId="7C81E06D" w14:textId="77777777" w:rsidR="00EC4F60" w:rsidRDefault="00EC4F60" w:rsidP="00EC4F60">
      <w:pPr>
        <w:autoSpaceDE w:val="0"/>
        <w:autoSpaceDN w:val="0"/>
        <w:adjustRightInd w:val="0"/>
        <w:spacing w:after="0" w:line="240" w:lineRule="auto"/>
        <w:rPr>
          <w:rFonts w:ascii="Helvetica" w:hAnsi="Helvetica"/>
          <w:color w:val="333333"/>
          <w:sz w:val="27"/>
          <w:szCs w:val="27"/>
          <w:shd w:val="clear" w:color="auto" w:fill="FFFFFF"/>
        </w:rPr>
      </w:pPr>
      <w:r>
        <w:rPr>
          <w:rFonts w:ascii="Helvetica" w:hAnsi="Helvetica"/>
          <w:color w:val="333333"/>
          <w:sz w:val="27"/>
          <w:szCs w:val="27"/>
          <w:shd w:val="clear" w:color="auto" w:fill="FFFFFF"/>
        </w:rPr>
        <w:t>Diffuse liver disease can be marked by an increase, decrease, or no changes in overall echogenicity (</w:t>
      </w:r>
      <w:r>
        <w:rPr>
          <w:rStyle w:val="Strong"/>
          <w:rFonts w:ascii="Helvetica" w:hAnsi="Helvetica"/>
          <w:color w:val="333333"/>
          <w:sz w:val="27"/>
          <w:szCs w:val="27"/>
          <w:bdr w:val="none" w:sz="0" w:space="0" w:color="auto" w:frame="1"/>
          <w:shd w:val="clear" w:color="auto" w:fill="FFFFFF"/>
        </w:rPr>
        <w:t>Table 1</w:t>
      </w:r>
      <w:r>
        <w:rPr>
          <w:rFonts w:ascii="Helvetica" w:hAnsi="Helvetica"/>
          <w:color w:val="333333"/>
          <w:sz w:val="27"/>
          <w:szCs w:val="27"/>
          <w:shd w:val="clear" w:color="auto" w:fill="FFFFFF"/>
        </w:rPr>
        <w:t>, </w:t>
      </w:r>
      <w:r>
        <w:rPr>
          <w:rStyle w:val="Strong"/>
          <w:rFonts w:ascii="Helvetica" w:hAnsi="Helvetica"/>
          <w:color w:val="333333"/>
          <w:sz w:val="27"/>
          <w:szCs w:val="27"/>
          <w:bdr w:val="none" w:sz="0" w:space="0" w:color="auto" w:frame="1"/>
          <w:shd w:val="clear" w:color="auto" w:fill="FFFFFF"/>
        </w:rPr>
        <w:t>Figure 2</w:t>
      </w:r>
      <w:r>
        <w:rPr>
          <w:rFonts w:ascii="Helvetica" w:hAnsi="Helvetica"/>
          <w:color w:val="333333"/>
          <w:sz w:val="27"/>
          <w:szCs w:val="27"/>
          <w:shd w:val="clear" w:color="auto" w:fill="FFFFFF"/>
        </w:rPr>
        <w:t xml:space="preserve">). In dogs with increased echogenicity secondary to vacuolar hepatopathy, the ultrasound waves can appear hyperattenuating. This occurs when the ultrasound beam no longer penetrates to the depth that would be expected for a given frequency. Typically, the </w:t>
      </w:r>
      <w:proofErr w:type="spellStart"/>
      <w:r>
        <w:rPr>
          <w:rFonts w:ascii="Helvetica" w:hAnsi="Helvetica"/>
          <w:color w:val="333333"/>
          <w:sz w:val="27"/>
          <w:szCs w:val="27"/>
          <w:shd w:val="clear" w:color="auto" w:fill="FFFFFF"/>
        </w:rPr>
        <w:t>microconvex</w:t>
      </w:r>
      <w:proofErr w:type="spellEnd"/>
      <w:r>
        <w:rPr>
          <w:rFonts w:ascii="Helvetica" w:hAnsi="Helvetica"/>
          <w:color w:val="333333"/>
          <w:sz w:val="27"/>
          <w:szCs w:val="27"/>
          <w:shd w:val="clear" w:color="auto" w:fill="FFFFFF"/>
        </w:rPr>
        <w:t xml:space="preserve"> transducer (C8-5 at 8 MHz) can penetrate to the level of 8 cm. In diseases that cause vacuolar hepatopathies, however, the ultrasound beam is often attenuated to a depth of only 4 to 5 cm.</w:t>
      </w:r>
    </w:p>
    <w:p w14:paraId="1D8BBA00" w14:textId="77777777" w:rsidR="00EC4F60" w:rsidRDefault="00EC4F60" w:rsidP="00EC4F60">
      <w:pPr>
        <w:autoSpaceDE w:val="0"/>
        <w:autoSpaceDN w:val="0"/>
        <w:adjustRightInd w:val="0"/>
        <w:spacing w:after="0" w:line="240" w:lineRule="auto"/>
        <w:rPr>
          <w:rFonts w:ascii="Helvetica" w:hAnsi="Helvetica"/>
          <w:color w:val="333333"/>
          <w:sz w:val="27"/>
          <w:szCs w:val="27"/>
          <w:shd w:val="clear" w:color="auto" w:fill="FFFFFF"/>
        </w:rPr>
      </w:pPr>
    </w:p>
    <w:p w14:paraId="146B43FB" w14:textId="77777777" w:rsidR="00EC4F60" w:rsidRDefault="00EC4F60" w:rsidP="00EC4F60">
      <w:pPr>
        <w:autoSpaceDE w:val="0"/>
        <w:autoSpaceDN w:val="0"/>
        <w:adjustRightInd w:val="0"/>
        <w:spacing w:after="0" w:line="240" w:lineRule="auto"/>
        <w:rPr>
          <w:rFonts w:cs="PalatinoLTStd-Roman"/>
          <w:color w:val="231F20"/>
          <w:sz w:val="20"/>
          <w:szCs w:val="20"/>
          <w:lang w:val="lt-LT"/>
        </w:rPr>
      </w:pPr>
    </w:p>
    <w:p w14:paraId="721BAD93" w14:textId="77777777" w:rsidR="00EC4F60" w:rsidRDefault="00EC4F60" w:rsidP="00EC4F60">
      <w:pPr>
        <w:pStyle w:val="NormalWeb"/>
        <w:shd w:val="clear" w:color="auto" w:fill="FFFFFF"/>
        <w:spacing w:before="0" w:beforeAutospacing="0" w:after="300" w:afterAutospacing="0"/>
        <w:textAlignment w:val="baseline"/>
        <w:rPr>
          <w:rFonts w:ascii="Helvetica" w:hAnsi="Helvetica"/>
          <w:color w:val="333333"/>
          <w:sz w:val="27"/>
          <w:szCs w:val="27"/>
        </w:rPr>
      </w:pPr>
      <w:r>
        <w:rPr>
          <w:rFonts w:ascii="Helvetica" w:hAnsi="Helvetica"/>
          <w:color w:val="333333"/>
          <w:sz w:val="27"/>
          <w:szCs w:val="27"/>
        </w:rPr>
        <w:t>Other diseases affect the hepatic parenchyma diffusely but cause no changes in the overall echogenicity of the liver (</w:t>
      </w:r>
      <w:proofErr w:type="spellStart"/>
      <w:r>
        <w:rPr>
          <w:rFonts w:ascii="Helvetica" w:hAnsi="Helvetica"/>
          <w:color w:val="333333"/>
          <w:sz w:val="27"/>
          <w:szCs w:val="27"/>
        </w:rPr>
        <w:t>eg</w:t>
      </w:r>
      <w:proofErr w:type="spellEnd"/>
      <w:r>
        <w:rPr>
          <w:rFonts w:ascii="Helvetica" w:hAnsi="Helvetica"/>
          <w:color w:val="333333"/>
          <w:sz w:val="27"/>
          <w:szCs w:val="27"/>
        </w:rPr>
        <w:t xml:space="preserve">, lymphoma, disseminated </w:t>
      </w:r>
      <w:proofErr w:type="spellStart"/>
      <w:r>
        <w:rPr>
          <w:rFonts w:ascii="Helvetica" w:hAnsi="Helvetica"/>
          <w:color w:val="333333"/>
          <w:sz w:val="27"/>
          <w:szCs w:val="27"/>
        </w:rPr>
        <w:t>mastocytosis</w:t>
      </w:r>
      <w:proofErr w:type="spellEnd"/>
      <w:r>
        <w:rPr>
          <w:rFonts w:ascii="Helvetica" w:hAnsi="Helvetica"/>
          <w:color w:val="333333"/>
          <w:sz w:val="27"/>
          <w:szCs w:val="27"/>
        </w:rPr>
        <w:t xml:space="preserve">, acute hepatitis or </w:t>
      </w:r>
      <w:proofErr w:type="spellStart"/>
      <w:r>
        <w:rPr>
          <w:rFonts w:ascii="Helvetica" w:hAnsi="Helvetica"/>
          <w:color w:val="333333"/>
          <w:sz w:val="27"/>
          <w:szCs w:val="27"/>
        </w:rPr>
        <w:t>cholangiohepatitis</w:t>
      </w:r>
      <w:proofErr w:type="spellEnd"/>
      <w:r>
        <w:rPr>
          <w:rFonts w:ascii="Helvetica" w:hAnsi="Helvetica"/>
          <w:color w:val="333333"/>
          <w:sz w:val="27"/>
          <w:szCs w:val="27"/>
        </w:rPr>
        <w:t xml:space="preserve">). </w:t>
      </w:r>
      <w:proofErr w:type="gramStart"/>
      <w:r>
        <w:rPr>
          <w:rFonts w:ascii="Helvetica" w:hAnsi="Helvetica"/>
          <w:color w:val="333333"/>
          <w:sz w:val="27"/>
          <w:szCs w:val="27"/>
        </w:rPr>
        <w:t>This is why</w:t>
      </w:r>
      <w:proofErr w:type="gramEnd"/>
      <w:r>
        <w:rPr>
          <w:rFonts w:ascii="Helvetica" w:hAnsi="Helvetica"/>
          <w:color w:val="333333"/>
          <w:sz w:val="27"/>
          <w:szCs w:val="27"/>
        </w:rPr>
        <w:t xml:space="preserve"> cytology or histology is required for definitive diagnosis.</w:t>
      </w:r>
    </w:p>
    <w:p w14:paraId="2ADEE5DA" w14:textId="77777777" w:rsidR="00EC4F60" w:rsidRDefault="00EC4F60" w:rsidP="00EC4F60">
      <w:pPr>
        <w:pStyle w:val="NormalWeb"/>
        <w:shd w:val="clear" w:color="auto" w:fill="FFFFFF"/>
        <w:spacing w:before="0" w:beforeAutospacing="0" w:after="0" w:afterAutospacing="0"/>
        <w:textAlignment w:val="baseline"/>
        <w:rPr>
          <w:rFonts w:ascii="Helvetica" w:hAnsi="Helvetica"/>
          <w:color w:val="333333"/>
          <w:sz w:val="27"/>
          <w:szCs w:val="27"/>
        </w:rPr>
      </w:pPr>
      <w:r>
        <w:rPr>
          <w:rFonts w:ascii="Helvetica" w:hAnsi="Helvetica"/>
          <w:color w:val="333333"/>
          <w:sz w:val="27"/>
          <w:szCs w:val="27"/>
        </w:rPr>
        <w:t>Changes in hepatic size can be symmetric or asymmetric (</w:t>
      </w:r>
      <w:r>
        <w:rPr>
          <w:rStyle w:val="Strong"/>
          <w:rFonts w:ascii="inherit" w:hAnsi="inherit"/>
          <w:color w:val="333333"/>
          <w:sz w:val="27"/>
          <w:szCs w:val="27"/>
          <w:bdr w:val="none" w:sz="0" w:space="0" w:color="auto" w:frame="1"/>
        </w:rPr>
        <w:t>Table 2</w:t>
      </w:r>
      <w:r>
        <w:rPr>
          <w:rFonts w:ascii="Helvetica" w:hAnsi="Helvetica"/>
          <w:color w:val="333333"/>
          <w:sz w:val="27"/>
          <w:szCs w:val="27"/>
        </w:rPr>
        <w:t>); increased size often results in rounding of the hepatic margins (</w:t>
      </w:r>
      <w:r>
        <w:rPr>
          <w:rStyle w:val="Strong"/>
          <w:rFonts w:ascii="inherit" w:hAnsi="inherit"/>
          <w:color w:val="333333"/>
          <w:sz w:val="27"/>
          <w:szCs w:val="27"/>
          <w:bdr w:val="none" w:sz="0" w:space="0" w:color="auto" w:frame="1"/>
        </w:rPr>
        <w:t>Figure 3</w:t>
      </w:r>
      <w:r>
        <w:rPr>
          <w:rFonts w:ascii="Helvetica" w:hAnsi="Helvetica"/>
          <w:color w:val="333333"/>
          <w:sz w:val="27"/>
          <w:szCs w:val="27"/>
        </w:rPr>
        <w:t>).</w:t>
      </w:r>
    </w:p>
    <w:p w14:paraId="4FDA4DCC" w14:textId="008F446A" w:rsidR="00AD4C8D" w:rsidRDefault="00AD4C8D" w:rsidP="00AD4C8D">
      <w:pPr>
        <w:rPr>
          <w:rFonts w:cs="TimesNewRomanPSMT"/>
          <w:b/>
          <w:bCs/>
          <w:sz w:val="24"/>
          <w:szCs w:val="24"/>
        </w:rPr>
      </w:pPr>
    </w:p>
    <w:p w14:paraId="1340439E" w14:textId="236EC537" w:rsidR="00950810" w:rsidRDefault="00950810" w:rsidP="00AD4C8D">
      <w:pPr>
        <w:rPr>
          <w:rFonts w:cs="TimesNewRomanPSMT"/>
          <w:b/>
          <w:bCs/>
          <w:sz w:val="24"/>
          <w:szCs w:val="24"/>
        </w:rPr>
      </w:pPr>
    </w:p>
    <w:p w14:paraId="6B909287" w14:textId="7D98FE3F" w:rsidR="00950810" w:rsidRDefault="00CE4A19" w:rsidP="00AD4C8D">
      <w:pPr>
        <w:rPr>
          <w:rFonts w:cs="TimesNewRomanPSMT"/>
          <w:b/>
          <w:bCs/>
          <w:sz w:val="24"/>
          <w:szCs w:val="24"/>
        </w:rPr>
      </w:pPr>
      <w:proofErr w:type="spellStart"/>
      <w:r>
        <w:rPr>
          <w:rFonts w:cs="TimesNewRomanPSMT"/>
          <w:b/>
          <w:bCs/>
          <w:sz w:val="24"/>
          <w:szCs w:val="24"/>
        </w:rPr>
        <w:t>Lokalizuoti</w:t>
      </w:r>
      <w:proofErr w:type="spellEnd"/>
      <w:r>
        <w:rPr>
          <w:rFonts w:cs="TimesNewRomanPSMT"/>
          <w:b/>
          <w:bCs/>
          <w:sz w:val="24"/>
          <w:szCs w:val="24"/>
        </w:rPr>
        <w:t xml:space="preserve"> </w:t>
      </w:r>
      <w:proofErr w:type="spellStart"/>
      <w:r>
        <w:rPr>
          <w:rFonts w:cs="TimesNewRomanPSMT"/>
          <w:b/>
          <w:bCs/>
          <w:sz w:val="24"/>
          <w:szCs w:val="24"/>
        </w:rPr>
        <w:t>kepenų</w:t>
      </w:r>
      <w:proofErr w:type="spellEnd"/>
      <w:r>
        <w:rPr>
          <w:rFonts w:cs="TimesNewRomanPSMT"/>
          <w:b/>
          <w:bCs/>
          <w:sz w:val="24"/>
          <w:szCs w:val="24"/>
        </w:rPr>
        <w:t xml:space="preserve"> </w:t>
      </w:r>
      <w:proofErr w:type="spellStart"/>
      <w:r>
        <w:rPr>
          <w:rFonts w:cs="TimesNewRomanPSMT"/>
          <w:b/>
          <w:bCs/>
          <w:sz w:val="24"/>
          <w:szCs w:val="24"/>
        </w:rPr>
        <w:t>parenchimos</w:t>
      </w:r>
      <w:proofErr w:type="spellEnd"/>
      <w:r>
        <w:rPr>
          <w:rFonts w:cs="TimesNewRomanPSMT"/>
          <w:b/>
          <w:bCs/>
          <w:sz w:val="24"/>
          <w:szCs w:val="24"/>
        </w:rPr>
        <w:t xml:space="preserve"> </w:t>
      </w:r>
      <w:proofErr w:type="spellStart"/>
      <w:r>
        <w:rPr>
          <w:rFonts w:cs="TimesNewRomanPSMT"/>
          <w:b/>
          <w:bCs/>
          <w:sz w:val="24"/>
          <w:szCs w:val="24"/>
        </w:rPr>
        <w:t>pakitimai</w:t>
      </w:r>
      <w:proofErr w:type="spellEnd"/>
    </w:p>
    <w:p w14:paraId="715EA88D" w14:textId="747B35B8" w:rsidR="00CE4A19" w:rsidRPr="00CE4A19" w:rsidRDefault="00CE4A19" w:rsidP="00AD4C8D">
      <w:pPr>
        <w:rPr>
          <w:rFonts w:cs="TimesNewRomanPSMT"/>
          <w:sz w:val="24"/>
          <w:szCs w:val="24"/>
        </w:rPr>
      </w:pPr>
      <w:bookmarkStart w:id="0" w:name="_GoBack"/>
      <w:proofErr w:type="spellStart"/>
      <w:r>
        <w:rPr>
          <w:rFonts w:cs="TimesNewRomanPSMT"/>
          <w:sz w:val="24"/>
          <w:szCs w:val="24"/>
        </w:rPr>
        <w:t>Gerybiniai</w:t>
      </w:r>
      <w:proofErr w:type="spellEnd"/>
      <w:r>
        <w:rPr>
          <w:rFonts w:cs="TimesNewRomanPSMT"/>
          <w:sz w:val="24"/>
          <w:szCs w:val="24"/>
        </w:rPr>
        <w:t xml:space="preserve"> </w:t>
      </w:r>
      <w:proofErr w:type="spellStart"/>
      <w:r>
        <w:rPr>
          <w:rFonts w:cs="TimesNewRomanPSMT"/>
          <w:sz w:val="24"/>
          <w:szCs w:val="24"/>
        </w:rPr>
        <w:t>dariniai</w:t>
      </w:r>
      <w:proofErr w:type="spellEnd"/>
      <w:r>
        <w:rPr>
          <w:rFonts w:cs="TimesNewRomanPSMT"/>
          <w:sz w:val="24"/>
          <w:szCs w:val="24"/>
        </w:rPr>
        <w:t xml:space="preserve"> </w:t>
      </w:r>
      <w:proofErr w:type="spellStart"/>
      <w:r>
        <w:rPr>
          <w:rFonts w:cs="TimesNewRomanPSMT"/>
          <w:sz w:val="24"/>
          <w:szCs w:val="24"/>
        </w:rPr>
        <w:t>tokie</w:t>
      </w:r>
      <w:proofErr w:type="spellEnd"/>
      <w:r>
        <w:rPr>
          <w:rFonts w:cs="TimesNewRomanPSMT"/>
          <w:sz w:val="24"/>
          <w:szCs w:val="24"/>
        </w:rPr>
        <w:t xml:space="preserve"> </w:t>
      </w:r>
      <w:proofErr w:type="spellStart"/>
      <w:r>
        <w:rPr>
          <w:rFonts w:cs="TimesNewRomanPSMT"/>
          <w:sz w:val="24"/>
          <w:szCs w:val="24"/>
        </w:rPr>
        <w:t>kaip</w:t>
      </w:r>
      <w:proofErr w:type="spellEnd"/>
      <w:r>
        <w:rPr>
          <w:rFonts w:cs="TimesNewRomanPSMT"/>
          <w:sz w:val="24"/>
          <w:szCs w:val="24"/>
        </w:rPr>
        <w:t xml:space="preserve"> </w:t>
      </w:r>
      <w:proofErr w:type="spellStart"/>
      <w:r>
        <w:rPr>
          <w:rFonts w:cs="TimesNewRomanPSMT"/>
          <w:sz w:val="24"/>
          <w:szCs w:val="24"/>
        </w:rPr>
        <w:t>mazgelinė</w:t>
      </w:r>
      <w:proofErr w:type="spellEnd"/>
      <w:r>
        <w:rPr>
          <w:rFonts w:cs="TimesNewRomanPSMT"/>
          <w:sz w:val="24"/>
          <w:szCs w:val="24"/>
        </w:rPr>
        <w:t xml:space="preserve"> </w:t>
      </w:r>
      <w:proofErr w:type="spellStart"/>
      <w:r>
        <w:rPr>
          <w:rFonts w:cs="TimesNewRomanPSMT"/>
          <w:sz w:val="24"/>
          <w:szCs w:val="24"/>
        </w:rPr>
        <w:t>hiperplazija</w:t>
      </w:r>
      <w:proofErr w:type="spellEnd"/>
      <w:r>
        <w:rPr>
          <w:rFonts w:cs="TimesNewRomanPSMT"/>
          <w:sz w:val="24"/>
          <w:szCs w:val="24"/>
        </w:rPr>
        <w:t xml:space="preserve"> </w:t>
      </w:r>
      <w:proofErr w:type="spellStart"/>
      <w:r w:rsidR="001E5153">
        <w:rPr>
          <w:rFonts w:cs="TimesNewRomanPSMT"/>
          <w:sz w:val="24"/>
          <w:szCs w:val="24"/>
        </w:rPr>
        <w:t>yra</w:t>
      </w:r>
      <w:proofErr w:type="spellEnd"/>
      <w:r w:rsidR="001E5153">
        <w:rPr>
          <w:rFonts w:cs="TimesNewRomanPSMT"/>
          <w:sz w:val="24"/>
          <w:szCs w:val="24"/>
        </w:rPr>
        <w:t xml:space="preserve"> </w:t>
      </w:r>
      <w:proofErr w:type="spellStart"/>
      <w:r w:rsidR="001E5153">
        <w:rPr>
          <w:rFonts w:cs="TimesNewRomanPSMT"/>
          <w:sz w:val="24"/>
          <w:szCs w:val="24"/>
        </w:rPr>
        <w:t>dažnas</w:t>
      </w:r>
      <w:proofErr w:type="spellEnd"/>
      <w:r w:rsidR="001E5153">
        <w:rPr>
          <w:rFonts w:cs="TimesNewRomanPSMT"/>
          <w:sz w:val="24"/>
          <w:szCs w:val="24"/>
        </w:rPr>
        <w:t xml:space="preserve"> </w:t>
      </w:r>
      <w:proofErr w:type="spellStart"/>
      <w:r w:rsidR="001E5153">
        <w:rPr>
          <w:rFonts w:cs="TimesNewRomanPSMT"/>
          <w:sz w:val="24"/>
          <w:szCs w:val="24"/>
        </w:rPr>
        <w:t>radinys</w:t>
      </w:r>
      <w:proofErr w:type="spellEnd"/>
      <w:r w:rsidR="001E5153">
        <w:rPr>
          <w:rFonts w:cs="TimesNewRomanPSMT"/>
          <w:sz w:val="24"/>
          <w:szCs w:val="24"/>
        </w:rPr>
        <w:t xml:space="preserve"> </w:t>
      </w:r>
      <w:proofErr w:type="spellStart"/>
      <w:r w:rsidR="001E5153">
        <w:rPr>
          <w:rFonts w:cs="TimesNewRomanPSMT"/>
          <w:sz w:val="24"/>
          <w:szCs w:val="24"/>
        </w:rPr>
        <w:t>ypač</w:t>
      </w:r>
      <w:proofErr w:type="spellEnd"/>
      <w:r w:rsidR="001E5153">
        <w:rPr>
          <w:rFonts w:cs="TimesNewRomanPSMT"/>
          <w:sz w:val="24"/>
          <w:szCs w:val="24"/>
        </w:rPr>
        <w:t xml:space="preserve"> </w:t>
      </w:r>
      <w:proofErr w:type="spellStart"/>
      <w:r w:rsidR="001E5153">
        <w:rPr>
          <w:rFonts w:cs="TimesNewRomanPSMT"/>
          <w:sz w:val="24"/>
          <w:szCs w:val="24"/>
        </w:rPr>
        <w:t>vyresnio</w:t>
      </w:r>
      <w:proofErr w:type="spellEnd"/>
      <w:r w:rsidR="001E5153">
        <w:rPr>
          <w:rFonts w:cs="TimesNewRomanPSMT"/>
          <w:sz w:val="24"/>
          <w:szCs w:val="24"/>
        </w:rPr>
        <w:t xml:space="preserve"> </w:t>
      </w:r>
      <w:proofErr w:type="spellStart"/>
      <w:r w:rsidR="001E5153">
        <w:rPr>
          <w:rFonts w:cs="TimesNewRomanPSMT"/>
          <w:sz w:val="24"/>
          <w:szCs w:val="24"/>
        </w:rPr>
        <w:t>amžiaus</w:t>
      </w:r>
      <w:proofErr w:type="spellEnd"/>
      <w:r w:rsidR="001E5153">
        <w:rPr>
          <w:rFonts w:cs="TimesNewRomanPSMT"/>
          <w:sz w:val="24"/>
          <w:szCs w:val="24"/>
        </w:rPr>
        <w:t xml:space="preserve"> </w:t>
      </w:r>
      <w:proofErr w:type="spellStart"/>
      <w:r w:rsidR="001E5153">
        <w:rPr>
          <w:rFonts w:cs="TimesNewRomanPSMT"/>
          <w:sz w:val="24"/>
          <w:szCs w:val="24"/>
        </w:rPr>
        <w:t>šunims</w:t>
      </w:r>
      <w:proofErr w:type="spellEnd"/>
      <w:r w:rsidR="001E5153">
        <w:rPr>
          <w:rFonts w:cs="TimesNewRomanPSMT"/>
          <w:sz w:val="24"/>
          <w:szCs w:val="24"/>
        </w:rPr>
        <w:t xml:space="preserve">. </w:t>
      </w:r>
      <w:proofErr w:type="spellStart"/>
      <w:r w:rsidR="001E5153">
        <w:rPr>
          <w:rFonts w:cs="TimesNewRomanPSMT"/>
          <w:sz w:val="24"/>
          <w:szCs w:val="24"/>
        </w:rPr>
        <w:t>Gerybinės</w:t>
      </w:r>
      <w:proofErr w:type="spellEnd"/>
      <w:r w:rsidR="001E5153">
        <w:rPr>
          <w:rFonts w:cs="TimesNewRomanPSMT"/>
          <w:sz w:val="24"/>
          <w:szCs w:val="24"/>
        </w:rPr>
        <w:t xml:space="preserve"> </w:t>
      </w:r>
      <w:proofErr w:type="spellStart"/>
      <w:r w:rsidR="001E5153">
        <w:rPr>
          <w:rFonts w:cs="TimesNewRomanPSMT"/>
          <w:sz w:val="24"/>
          <w:szCs w:val="24"/>
        </w:rPr>
        <w:t>kepenų</w:t>
      </w:r>
      <w:proofErr w:type="spellEnd"/>
      <w:r w:rsidR="001E5153">
        <w:rPr>
          <w:rFonts w:cs="TimesNewRomanPSMT"/>
          <w:sz w:val="24"/>
          <w:szCs w:val="24"/>
        </w:rPr>
        <w:t xml:space="preserve"> </w:t>
      </w:r>
      <w:proofErr w:type="spellStart"/>
      <w:r w:rsidR="001E5153">
        <w:rPr>
          <w:rFonts w:cs="TimesNewRomanPSMT"/>
          <w:sz w:val="24"/>
          <w:szCs w:val="24"/>
        </w:rPr>
        <w:t>adenomos</w:t>
      </w:r>
      <w:proofErr w:type="spellEnd"/>
      <w:r w:rsidR="001E5153">
        <w:rPr>
          <w:rFonts w:cs="TimesNewRomanPSMT"/>
          <w:sz w:val="24"/>
          <w:szCs w:val="24"/>
        </w:rPr>
        <w:t xml:space="preserve"> </w:t>
      </w:r>
      <w:proofErr w:type="spellStart"/>
      <w:r w:rsidR="001E5153">
        <w:rPr>
          <w:rFonts w:cs="TimesNewRomanPSMT"/>
          <w:sz w:val="24"/>
          <w:szCs w:val="24"/>
        </w:rPr>
        <w:t>echoskopiškai</w:t>
      </w:r>
      <w:proofErr w:type="spellEnd"/>
      <w:r w:rsidR="001E5153">
        <w:rPr>
          <w:rFonts w:cs="TimesNewRomanPSMT"/>
          <w:sz w:val="24"/>
          <w:szCs w:val="24"/>
        </w:rPr>
        <w:t xml:space="preserve"> </w:t>
      </w:r>
      <w:proofErr w:type="spellStart"/>
      <w:r w:rsidR="001E5153">
        <w:rPr>
          <w:rFonts w:cs="TimesNewRomanPSMT"/>
          <w:sz w:val="24"/>
          <w:szCs w:val="24"/>
        </w:rPr>
        <w:t>negali</w:t>
      </w:r>
      <w:proofErr w:type="spellEnd"/>
      <w:r w:rsidR="001E5153">
        <w:rPr>
          <w:rFonts w:cs="TimesNewRomanPSMT"/>
          <w:sz w:val="24"/>
          <w:szCs w:val="24"/>
        </w:rPr>
        <w:t xml:space="preserve"> </w:t>
      </w:r>
      <w:proofErr w:type="spellStart"/>
      <w:r w:rsidR="001E5153">
        <w:rPr>
          <w:rFonts w:cs="TimesNewRomanPSMT"/>
          <w:sz w:val="24"/>
          <w:szCs w:val="24"/>
        </w:rPr>
        <w:t>būti</w:t>
      </w:r>
      <w:proofErr w:type="spellEnd"/>
      <w:r w:rsidR="001E5153">
        <w:rPr>
          <w:rFonts w:cs="TimesNewRomanPSMT"/>
          <w:sz w:val="24"/>
          <w:szCs w:val="24"/>
        </w:rPr>
        <w:t xml:space="preserve"> </w:t>
      </w:r>
      <w:proofErr w:type="spellStart"/>
      <w:r w:rsidR="001E5153">
        <w:rPr>
          <w:rFonts w:cs="TimesNewRomanPSMT"/>
          <w:sz w:val="24"/>
          <w:szCs w:val="24"/>
        </w:rPr>
        <w:t>diferencijuojamos</w:t>
      </w:r>
      <w:proofErr w:type="spellEnd"/>
      <w:r w:rsidR="001E5153">
        <w:rPr>
          <w:rFonts w:cs="TimesNewRomanPSMT"/>
          <w:sz w:val="24"/>
          <w:szCs w:val="24"/>
        </w:rPr>
        <w:t xml:space="preserve"> </w:t>
      </w:r>
      <w:proofErr w:type="spellStart"/>
      <w:r w:rsidR="001E5153">
        <w:rPr>
          <w:rFonts w:cs="TimesNewRomanPSMT"/>
          <w:sz w:val="24"/>
          <w:szCs w:val="24"/>
        </w:rPr>
        <w:t>nuo</w:t>
      </w:r>
      <w:proofErr w:type="spellEnd"/>
      <w:r w:rsidR="001E5153">
        <w:rPr>
          <w:rFonts w:cs="TimesNewRomanPSMT"/>
          <w:sz w:val="24"/>
          <w:szCs w:val="24"/>
        </w:rPr>
        <w:t xml:space="preserve"> </w:t>
      </w:r>
      <w:proofErr w:type="spellStart"/>
      <w:r w:rsidR="001E5153">
        <w:rPr>
          <w:rFonts w:cs="TimesNewRomanPSMT"/>
          <w:sz w:val="24"/>
          <w:szCs w:val="24"/>
        </w:rPr>
        <w:t>piktybinių</w:t>
      </w:r>
      <w:proofErr w:type="spellEnd"/>
      <w:r w:rsidR="001E5153">
        <w:rPr>
          <w:rFonts w:cs="TimesNewRomanPSMT"/>
          <w:sz w:val="24"/>
          <w:szCs w:val="24"/>
        </w:rPr>
        <w:t xml:space="preserve"> </w:t>
      </w:r>
      <w:proofErr w:type="spellStart"/>
      <w:r w:rsidR="001E5153">
        <w:rPr>
          <w:rFonts w:cs="TimesNewRomanPSMT"/>
          <w:sz w:val="24"/>
          <w:szCs w:val="24"/>
        </w:rPr>
        <w:t>darinių</w:t>
      </w:r>
      <w:proofErr w:type="spellEnd"/>
      <w:r w:rsidR="001E5153">
        <w:rPr>
          <w:rFonts w:cs="TimesNewRomanPSMT"/>
          <w:sz w:val="24"/>
          <w:szCs w:val="24"/>
        </w:rPr>
        <w:t xml:space="preserve">, </w:t>
      </w:r>
      <w:proofErr w:type="spellStart"/>
      <w:r w:rsidR="001E5153">
        <w:rPr>
          <w:rFonts w:cs="TimesNewRomanPSMT"/>
          <w:sz w:val="24"/>
          <w:szCs w:val="24"/>
        </w:rPr>
        <w:t>todėl</w:t>
      </w:r>
      <w:proofErr w:type="spellEnd"/>
      <w:r w:rsidR="001E5153">
        <w:rPr>
          <w:rFonts w:cs="TimesNewRomanPSMT"/>
          <w:sz w:val="24"/>
          <w:szCs w:val="24"/>
        </w:rPr>
        <w:t xml:space="preserve"> </w:t>
      </w:r>
      <w:proofErr w:type="spellStart"/>
      <w:r w:rsidR="001E5153">
        <w:rPr>
          <w:rFonts w:cs="TimesNewRomanPSMT"/>
          <w:sz w:val="24"/>
          <w:szCs w:val="24"/>
        </w:rPr>
        <w:t>reikalinga</w:t>
      </w:r>
      <w:proofErr w:type="spellEnd"/>
      <w:r w:rsidR="001E5153">
        <w:rPr>
          <w:rFonts w:cs="TimesNewRomanPSMT"/>
          <w:sz w:val="24"/>
          <w:szCs w:val="24"/>
        </w:rPr>
        <w:t xml:space="preserve"> </w:t>
      </w:r>
      <w:proofErr w:type="spellStart"/>
      <w:r w:rsidR="001E5153">
        <w:rPr>
          <w:rFonts w:cs="TimesNewRomanPSMT"/>
          <w:sz w:val="24"/>
          <w:szCs w:val="24"/>
        </w:rPr>
        <w:t>histologija</w:t>
      </w:r>
      <w:proofErr w:type="spellEnd"/>
      <w:r w:rsidR="001E5153">
        <w:rPr>
          <w:rFonts w:cs="TimesNewRomanPSMT"/>
          <w:sz w:val="24"/>
          <w:szCs w:val="24"/>
        </w:rPr>
        <w:t xml:space="preserve"> </w:t>
      </w:r>
      <w:proofErr w:type="spellStart"/>
      <w:r w:rsidR="001E5153">
        <w:rPr>
          <w:rFonts w:cs="TimesNewRomanPSMT"/>
          <w:sz w:val="24"/>
          <w:szCs w:val="24"/>
        </w:rPr>
        <w:t>arba</w:t>
      </w:r>
      <w:proofErr w:type="spellEnd"/>
      <w:r w:rsidR="001E5153">
        <w:rPr>
          <w:rFonts w:cs="TimesNewRomanPSMT"/>
          <w:sz w:val="24"/>
          <w:szCs w:val="24"/>
        </w:rPr>
        <w:t xml:space="preserve"> </w:t>
      </w:r>
      <w:proofErr w:type="spellStart"/>
      <w:r w:rsidR="001E5153">
        <w:rPr>
          <w:rFonts w:cs="TimesNewRomanPSMT"/>
          <w:sz w:val="24"/>
          <w:szCs w:val="24"/>
        </w:rPr>
        <w:t>fna</w:t>
      </w:r>
      <w:proofErr w:type="spellEnd"/>
      <w:r w:rsidR="001E5153">
        <w:rPr>
          <w:rFonts w:cs="TimesNewRomanPSMT"/>
          <w:sz w:val="24"/>
          <w:szCs w:val="24"/>
        </w:rPr>
        <w:t>.</w:t>
      </w:r>
    </w:p>
    <w:p w14:paraId="3C0F8574" w14:textId="29E97E24" w:rsidR="00CE4A19" w:rsidRPr="00CE4A19" w:rsidRDefault="00CE4A19" w:rsidP="00AD4C8D">
      <w:pPr>
        <w:rPr>
          <w:rFonts w:cs="TimesNewRomanPSMT"/>
          <w:sz w:val="24"/>
          <w:szCs w:val="24"/>
        </w:rPr>
      </w:pPr>
      <w:proofErr w:type="spellStart"/>
      <w:r>
        <w:rPr>
          <w:rFonts w:cs="TimesNewRomanPSMT"/>
          <w:sz w:val="24"/>
          <w:szCs w:val="24"/>
        </w:rPr>
        <w:t>Kepenys</w:t>
      </w:r>
      <w:proofErr w:type="spellEnd"/>
      <w:r>
        <w:rPr>
          <w:rFonts w:cs="TimesNewRomanPSMT"/>
          <w:sz w:val="24"/>
          <w:szCs w:val="24"/>
        </w:rPr>
        <w:t xml:space="preserve"> </w:t>
      </w:r>
      <w:proofErr w:type="spellStart"/>
      <w:r>
        <w:rPr>
          <w:rFonts w:cs="TimesNewRomanPSMT"/>
          <w:sz w:val="24"/>
          <w:szCs w:val="24"/>
        </w:rPr>
        <w:t>yra</w:t>
      </w:r>
      <w:proofErr w:type="spellEnd"/>
      <w:r>
        <w:rPr>
          <w:rFonts w:cs="TimesNewRomanPSMT"/>
          <w:sz w:val="24"/>
          <w:szCs w:val="24"/>
        </w:rPr>
        <w:t xml:space="preserve"> </w:t>
      </w:r>
      <w:proofErr w:type="spellStart"/>
      <w:r>
        <w:rPr>
          <w:rFonts w:cs="TimesNewRomanPSMT"/>
          <w:sz w:val="24"/>
          <w:szCs w:val="24"/>
        </w:rPr>
        <w:t>dažna</w:t>
      </w:r>
      <w:proofErr w:type="spellEnd"/>
      <w:r>
        <w:rPr>
          <w:rFonts w:cs="TimesNewRomanPSMT"/>
          <w:sz w:val="24"/>
          <w:szCs w:val="24"/>
        </w:rPr>
        <w:t xml:space="preserve"> </w:t>
      </w:r>
      <w:proofErr w:type="spellStart"/>
      <w:r>
        <w:rPr>
          <w:rFonts w:cs="TimesNewRomanPSMT"/>
          <w:sz w:val="24"/>
          <w:szCs w:val="24"/>
        </w:rPr>
        <w:t>metastazių</w:t>
      </w:r>
      <w:proofErr w:type="spellEnd"/>
      <w:r>
        <w:rPr>
          <w:rFonts w:cs="TimesNewRomanPSMT"/>
          <w:sz w:val="24"/>
          <w:szCs w:val="24"/>
        </w:rPr>
        <w:t xml:space="preserve"> </w:t>
      </w:r>
      <w:proofErr w:type="spellStart"/>
      <w:r>
        <w:rPr>
          <w:rFonts w:cs="TimesNewRomanPSMT"/>
          <w:sz w:val="24"/>
          <w:szCs w:val="24"/>
        </w:rPr>
        <w:t>vieta</w:t>
      </w:r>
      <w:proofErr w:type="spellEnd"/>
      <w:r>
        <w:rPr>
          <w:rFonts w:cs="TimesNewRomanPSMT"/>
          <w:sz w:val="24"/>
          <w:szCs w:val="24"/>
        </w:rPr>
        <w:t xml:space="preserve">. </w:t>
      </w:r>
      <w:proofErr w:type="spellStart"/>
      <w:r>
        <w:rPr>
          <w:rFonts w:cs="TimesNewRomanPSMT"/>
          <w:sz w:val="24"/>
          <w:szCs w:val="24"/>
        </w:rPr>
        <w:t>Pirminiai</w:t>
      </w:r>
      <w:proofErr w:type="spellEnd"/>
      <w:r>
        <w:rPr>
          <w:rFonts w:cs="TimesNewRomanPSMT"/>
          <w:sz w:val="24"/>
          <w:szCs w:val="24"/>
        </w:rPr>
        <w:t xml:space="preserve"> </w:t>
      </w:r>
      <w:proofErr w:type="spellStart"/>
      <w:r>
        <w:rPr>
          <w:rFonts w:cs="TimesNewRomanPSMT"/>
          <w:sz w:val="24"/>
          <w:szCs w:val="24"/>
        </w:rPr>
        <w:t>kepenų</w:t>
      </w:r>
      <w:proofErr w:type="spellEnd"/>
      <w:r>
        <w:rPr>
          <w:rFonts w:cs="TimesNewRomanPSMT"/>
          <w:sz w:val="24"/>
          <w:szCs w:val="24"/>
        </w:rPr>
        <w:t xml:space="preserve"> </w:t>
      </w:r>
      <w:proofErr w:type="spellStart"/>
      <w:r>
        <w:rPr>
          <w:rFonts w:cs="TimesNewRomanPSMT"/>
          <w:sz w:val="24"/>
          <w:szCs w:val="24"/>
        </w:rPr>
        <w:t>augliai</w:t>
      </w:r>
      <w:proofErr w:type="spellEnd"/>
      <w:r>
        <w:rPr>
          <w:rFonts w:cs="TimesNewRomanPSMT"/>
          <w:sz w:val="24"/>
          <w:szCs w:val="24"/>
        </w:rPr>
        <w:t xml:space="preserve">, </w:t>
      </w:r>
      <w:proofErr w:type="spellStart"/>
      <w:r>
        <w:rPr>
          <w:rFonts w:cs="TimesNewRomanPSMT"/>
          <w:sz w:val="24"/>
          <w:szCs w:val="24"/>
        </w:rPr>
        <w:t>tokie</w:t>
      </w:r>
      <w:proofErr w:type="spellEnd"/>
      <w:r>
        <w:rPr>
          <w:rFonts w:cs="TimesNewRomanPSMT"/>
          <w:sz w:val="24"/>
          <w:szCs w:val="24"/>
        </w:rPr>
        <w:t xml:space="preserve"> </w:t>
      </w:r>
      <w:proofErr w:type="spellStart"/>
      <w:r>
        <w:rPr>
          <w:rFonts w:cs="TimesNewRomanPSMT"/>
          <w:sz w:val="24"/>
          <w:szCs w:val="24"/>
        </w:rPr>
        <w:t>kaip</w:t>
      </w:r>
      <w:proofErr w:type="spellEnd"/>
      <w:r>
        <w:rPr>
          <w:rFonts w:cs="TimesNewRomanPSMT"/>
          <w:sz w:val="24"/>
          <w:szCs w:val="24"/>
        </w:rPr>
        <w:t xml:space="preserve"> </w:t>
      </w:r>
      <w:proofErr w:type="spellStart"/>
      <w:r>
        <w:rPr>
          <w:rFonts w:cs="TimesNewRomanPSMT"/>
          <w:sz w:val="24"/>
          <w:szCs w:val="24"/>
        </w:rPr>
        <w:t>hepatoceluliarinė</w:t>
      </w:r>
      <w:proofErr w:type="spellEnd"/>
      <w:r>
        <w:rPr>
          <w:rFonts w:cs="TimesNewRomanPSMT"/>
          <w:sz w:val="24"/>
          <w:szCs w:val="24"/>
        </w:rPr>
        <w:t xml:space="preserve"> carcinoma </w:t>
      </w:r>
      <w:proofErr w:type="spellStart"/>
      <w:r>
        <w:rPr>
          <w:rFonts w:cs="TimesNewRomanPSMT"/>
          <w:sz w:val="24"/>
          <w:szCs w:val="24"/>
        </w:rPr>
        <w:t>yra</w:t>
      </w:r>
      <w:proofErr w:type="spellEnd"/>
      <w:r>
        <w:rPr>
          <w:rFonts w:cs="TimesNewRomanPSMT"/>
          <w:sz w:val="24"/>
          <w:szCs w:val="24"/>
        </w:rPr>
        <w:t xml:space="preserve"> </w:t>
      </w:r>
      <w:proofErr w:type="spellStart"/>
      <w:r>
        <w:rPr>
          <w:rFonts w:cs="TimesNewRomanPSMT"/>
          <w:sz w:val="24"/>
          <w:szCs w:val="24"/>
        </w:rPr>
        <w:t>daug</w:t>
      </w:r>
      <w:proofErr w:type="spellEnd"/>
      <w:r>
        <w:rPr>
          <w:rFonts w:cs="TimesNewRomanPSMT"/>
          <w:sz w:val="24"/>
          <w:szCs w:val="24"/>
        </w:rPr>
        <w:t xml:space="preserve"> </w:t>
      </w:r>
      <w:proofErr w:type="spellStart"/>
      <w:r>
        <w:rPr>
          <w:rFonts w:cs="TimesNewRomanPSMT"/>
          <w:sz w:val="24"/>
          <w:szCs w:val="24"/>
        </w:rPr>
        <w:t>retesni</w:t>
      </w:r>
      <w:proofErr w:type="spellEnd"/>
      <w:r>
        <w:rPr>
          <w:rFonts w:cs="TimesNewRomanPSMT"/>
          <w:sz w:val="24"/>
          <w:szCs w:val="24"/>
        </w:rPr>
        <w:t xml:space="preserve">, </w:t>
      </w:r>
      <w:proofErr w:type="spellStart"/>
      <w:r>
        <w:rPr>
          <w:rFonts w:cs="TimesNewRomanPSMT"/>
          <w:sz w:val="24"/>
          <w:szCs w:val="24"/>
        </w:rPr>
        <w:t>nei</w:t>
      </w:r>
      <w:proofErr w:type="spellEnd"/>
      <w:r>
        <w:rPr>
          <w:rFonts w:cs="TimesNewRomanPSMT"/>
          <w:sz w:val="24"/>
          <w:szCs w:val="24"/>
        </w:rPr>
        <w:t xml:space="preserve"> </w:t>
      </w:r>
      <w:proofErr w:type="spellStart"/>
      <w:r>
        <w:rPr>
          <w:rFonts w:cs="TimesNewRomanPSMT"/>
          <w:sz w:val="24"/>
          <w:szCs w:val="24"/>
        </w:rPr>
        <w:t>metastazės</w:t>
      </w:r>
      <w:proofErr w:type="spellEnd"/>
      <w:r>
        <w:rPr>
          <w:rFonts w:cs="TimesNewRomanPSMT"/>
          <w:sz w:val="24"/>
          <w:szCs w:val="24"/>
        </w:rPr>
        <w:t>. “</w:t>
      </w:r>
      <w:proofErr w:type="spellStart"/>
      <w:r>
        <w:rPr>
          <w:rFonts w:cs="TimesNewRomanPSMT"/>
          <w:sz w:val="24"/>
          <w:szCs w:val="24"/>
        </w:rPr>
        <w:t>Taikinio</w:t>
      </w:r>
      <w:proofErr w:type="spellEnd"/>
      <w:r>
        <w:rPr>
          <w:rFonts w:cs="TimesNewRomanPSMT"/>
          <w:sz w:val="24"/>
          <w:szCs w:val="24"/>
        </w:rPr>
        <w:t xml:space="preserve">” </w:t>
      </w:r>
      <w:proofErr w:type="spellStart"/>
      <w:r>
        <w:rPr>
          <w:rFonts w:cs="TimesNewRomanPSMT"/>
          <w:sz w:val="24"/>
          <w:szCs w:val="24"/>
        </w:rPr>
        <w:t>morfologiją</w:t>
      </w:r>
      <w:proofErr w:type="spellEnd"/>
      <w:r>
        <w:rPr>
          <w:rFonts w:cs="TimesNewRomanPSMT"/>
          <w:sz w:val="24"/>
          <w:szCs w:val="24"/>
        </w:rPr>
        <w:t xml:space="preserve"> </w:t>
      </w:r>
      <w:proofErr w:type="spellStart"/>
      <w:r>
        <w:rPr>
          <w:rFonts w:cs="TimesNewRomanPSMT"/>
          <w:sz w:val="24"/>
          <w:szCs w:val="24"/>
        </w:rPr>
        <w:t>turintys</w:t>
      </w:r>
      <w:proofErr w:type="spellEnd"/>
      <w:r>
        <w:rPr>
          <w:rFonts w:cs="TimesNewRomanPSMT"/>
          <w:sz w:val="24"/>
          <w:szCs w:val="24"/>
        </w:rPr>
        <w:t xml:space="preserve"> </w:t>
      </w:r>
      <w:proofErr w:type="spellStart"/>
      <w:r>
        <w:rPr>
          <w:rFonts w:cs="TimesNewRomanPSMT"/>
          <w:sz w:val="24"/>
          <w:szCs w:val="24"/>
        </w:rPr>
        <w:t>dariniai</w:t>
      </w:r>
      <w:proofErr w:type="spellEnd"/>
      <w:r>
        <w:rPr>
          <w:rFonts w:cs="TimesNewRomanPSMT"/>
          <w:sz w:val="24"/>
          <w:szCs w:val="24"/>
        </w:rPr>
        <w:t xml:space="preserve"> </w:t>
      </w:r>
      <w:proofErr w:type="spellStart"/>
      <w:r>
        <w:rPr>
          <w:rFonts w:cs="TimesNewRomanPSMT"/>
          <w:sz w:val="24"/>
          <w:szCs w:val="24"/>
        </w:rPr>
        <w:t>su</w:t>
      </w:r>
      <w:proofErr w:type="spellEnd"/>
      <w:r>
        <w:rPr>
          <w:rFonts w:cs="TimesNewRomanPSMT"/>
          <w:sz w:val="24"/>
          <w:szCs w:val="24"/>
        </w:rPr>
        <w:t xml:space="preserve"> </w:t>
      </w:r>
      <w:proofErr w:type="spellStart"/>
      <w:r>
        <w:rPr>
          <w:rFonts w:cs="TimesNewRomanPSMT"/>
          <w:sz w:val="24"/>
          <w:szCs w:val="24"/>
        </w:rPr>
        <w:t>hiperechoišku</w:t>
      </w:r>
      <w:proofErr w:type="spellEnd"/>
      <w:r>
        <w:rPr>
          <w:rFonts w:cs="TimesNewRomanPSMT"/>
          <w:sz w:val="24"/>
          <w:szCs w:val="24"/>
        </w:rPr>
        <w:t xml:space="preserve"> </w:t>
      </w:r>
      <w:proofErr w:type="spellStart"/>
      <w:r>
        <w:rPr>
          <w:rFonts w:cs="TimesNewRomanPSMT"/>
          <w:sz w:val="24"/>
          <w:szCs w:val="24"/>
        </w:rPr>
        <w:t>centru</w:t>
      </w:r>
      <w:proofErr w:type="spellEnd"/>
      <w:r>
        <w:rPr>
          <w:rFonts w:cs="TimesNewRomanPSMT"/>
          <w:sz w:val="24"/>
          <w:szCs w:val="24"/>
        </w:rPr>
        <w:t xml:space="preserve"> </w:t>
      </w:r>
      <w:proofErr w:type="spellStart"/>
      <w:r>
        <w:rPr>
          <w:rFonts w:cs="TimesNewRomanPSMT"/>
          <w:sz w:val="24"/>
          <w:szCs w:val="24"/>
        </w:rPr>
        <w:t>ir</w:t>
      </w:r>
      <w:proofErr w:type="spellEnd"/>
      <w:r>
        <w:rPr>
          <w:rFonts w:cs="TimesNewRomanPSMT"/>
          <w:sz w:val="24"/>
          <w:szCs w:val="24"/>
        </w:rPr>
        <w:t xml:space="preserve"> </w:t>
      </w:r>
      <w:proofErr w:type="spellStart"/>
      <w:r>
        <w:rPr>
          <w:rFonts w:cs="TimesNewRomanPSMT"/>
          <w:sz w:val="24"/>
          <w:szCs w:val="24"/>
        </w:rPr>
        <w:t>hipoechoišku</w:t>
      </w:r>
      <w:proofErr w:type="spellEnd"/>
      <w:r>
        <w:rPr>
          <w:rFonts w:cs="TimesNewRomanPSMT"/>
          <w:sz w:val="24"/>
          <w:szCs w:val="24"/>
        </w:rPr>
        <w:t xml:space="preserve">, </w:t>
      </w:r>
      <w:proofErr w:type="spellStart"/>
      <w:r>
        <w:rPr>
          <w:rFonts w:cs="TimesNewRomanPSMT"/>
          <w:sz w:val="24"/>
          <w:szCs w:val="24"/>
        </w:rPr>
        <w:t>dažnai</w:t>
      </w:r>
      <w:proofErr w:type="spellEnd"/>
      <w:r>
        <w:rPr>
          <w:rFonts w:cs="TimesNewRomanPSMT"/>
          <w:sz w:val="24"/>
          <w:szCs w:val="24"/>
        </w:rPr>
        <w:t xml:space="preserve"> </w:t>
      </w:r>
      <w:proofErr w:type="spellStart"/>
      <w:r>
        <w:rPr>
          <w:rFonts w:cs="TimesNewRomanPSMT"/>
          <w:sz w:val="24"/>
          <w:szCs w:val="24"/>
        </w:rPr>
        <w:t>yra</w:t>
      </w:r>
      <w:proofErr w:type="spellEnd"/>
      <w:r>
        <w:rPr>
          <w:rFonts w:cs="TimesNewRomanPSMT"/>
          <w:sz w:val="24"/>
          <w:szCs w:val="24"/>
        </w:rPr>
        <w:t xml:space="preserve"> </w:t>
      </w:r>
      <w:proofErr w:type="spellStart"/>
      <w:r>
        <w:rPr>
          <w:rFonts w:cs="TimesNewRomanPSMT"/>
          <w:sz w:val="24"/>
          <w:szCs w:val="24"/>
        </w:rPr>
        <w:t>metastazinės</w:t>
      </w:r>
      <w:proofErr w:type="spellEnd"/>
      <w:r>
        <w:rPr>
          <w:rFonts w:cs="TimesNewRomanPSMT"/>
          <w:sz w:val="24"/>
          <w:szCs w:val="24"/>
        </w:rPr>
        <w:t xml:space="preserve"> </w:t>
      </w:r>
      <w:proofErr w:type="spellStart"/>
      <w:r>
        <w:rPr>
          <w:rFonts w:cs="TimesNewRomanPSMT"/>
          <w:sz w:val="24"/>
          <w:szCs w:val="24"/>
        </w:rPr>
        <w:t>kilmės</w:t>
      </w:r>
      <w:proofErr w:type="spellEnd"/>
      <w:r>
        <w:rPr>
          <w:rFonts w:cs="TimesNewRomanPSMT"/>
          <w:sz w:val="24"/>
          <w:szCs w:val="24"/>
        </w:rPr>
        <w:t xml:space="preserve">. </w:t>
      </w:r>
      <w:proofErr w:type="spellStart"/>
      <w:r>
        <w:rPr>
          <w:rFonts w:cs="TimesNewRomanPSMT"/>
          <w:sz w:val="24"/>
          <w:szCs w:val="24"/>
        </w:rPr>
        <w:t>Piktybiniai</w:t>
      </w:r>
      <w:proofErr w:type="spellEnd"/>
      <w:r>
        <w:rPr>
          <w:rFonts w:cs="TimesNewRomanPSMT"/>
          <w:sz w:val="24"/>
          <w:szCs w:val="24"/>
        </w:rPr>
        <w:t xml:space="preserve"> </w:t>
      </w:r>
      <w:proofErr w:type="spellStart"/>
      <w:r>
        <w:rPr>
          <w:rFonts w:cs="TimesNewRomanPSMT"/>
          <w:sz w:val="24"/>
          <w:szCs w:val="24"/>
        </w:rPr>
        <w:t>dariniai</w:t>
      </w:r>
      <w:proofErr w:type="spellEnd"/>
      <w:r>
        <w:rPr>
          <w:rFonts w:cs="TimesNewRomanPSMT"/>
          <w:sz w:val="24"/>
          <w:szCs w:val="24"/>
        </w:rPr>
        <w:t xml:space="preserve"> </w:t>
      </w:r>
      <w:proofErr w:type="spellStart"/>
      <w:r>
        <w:rPr>
          <w:rFonts w:cs="TimesNewRomanPSMT"/>
          <w:sz w:val="24"/>
          <w:szCs w:val="24"/>
        </w:rPr>
        <w:t>dažnai</w:t>
      </w:r>
      <w:proofErr w:type="spellEnd"/>
      <w:r>
        <w:rPr>
          <w:rFonts w:cs="TimesNewRomanPSMT"/>
          <w:sz w:val="24"/>
          <w:szCs w:val="24"/>
        </w:rPr>
        <w:t xml:space="preserve"> </w:t>
      </w:r>
      <w:proofErr w:type="spellStart"/>
      <w:r>
        <w:rPr>
          <w:rFonts w:cs="TimesNewRomanPSMT"/>
          <w:sz w:val="24"/>
          <w:szCs w:val="24"/>
        </w:rPr>
        <w:t>būna</w:t>
      </w:r>
      <w:proofErr w:type="spellEnd"/>
      <w:r>
        <w:rPr>
          <w:rFonts w:cs="TimesNewRomanPSMT"/>
          <w:sz w:val="24"/>
          <w:szCs w:val="24"/>
        </w:rPr>
        <w:t xml:space="preserve"> &gt;3cm, </w:t>
      </w:r>
      <w:proofErr w:type="spellStart"/>
      <w:r>
        <w:rPr>
          <w:rFonts w:cs="TimesNewRomanPSMT"/>
          <w:sz w:val="24"/>
          <w:szCs w:val="24"/>
        </w:rPr>
        <w:t>lydimi</w:t>
      </w:r>
      <w:proofErr w:type="spellEnd"/>
      <w:r>
        <w:rPr>
          <w:rFonts w:cs="TimesNewRomanPSMT"/>
          <w:sz w:val="24"/>
          <w:szCs w:val="24"/>
        </w:rPr>
        <w:t xml:space="preserve"> </w:t>
      </w:r>
      <w:proofErr w:type="spellStart"/>
      <w:r>
        <w:rPr>
          <w:rFonts w:cs="TimesNewRomanPSMT"/>
          <w:sz w:val="24"/>
          <w:szCs w:val="24"/>
        </w:rPr>
        <w:t>laisvo</w:t>
      </w:r>
      <w:proofErr w:type="spellEnd"/>
      <w:r>
        <w:rPr>
          <w:rFonts w:cs="TimesNewRomanPSMT"/>
          <w:sz w:val="24"/>
          <w:szCs w:val="24"/>
        </w:rPr>
        <w:t xml:space="preserve"> </w:t>
      </w:r>
      <w:proofErr w:type="spellStart"/>
      <w:r>
        <w:rPr>
          <w:rFonts w:cs="TimesNewRomanPSMT"/>
          <w:sz w:val="24"/>
          <w:szCs w:val="24"/>
        </w:rPr>
        <w:t>skysčio</w:t>
      </w:r>
      <w:proofErr w:type="spellEnd"/>
      <w:r>
        <w:rPr>
          <w:rFonts w:cs="TimesNewRomanPSMT"/>
          <w:sz w:val="24"/>
          <w:szCs w:val="24"/>
        </w:rPr>
        <w:t xml:space="preserve"> </w:t>
      </w:r>
      <w:proofErr w:type="spellStart"/>
      <w:r>
        <w:rPr>
          <w:rFonts w:cs="TimesNewRomanPSMT"/>
          <w:sz w:val="24"/>
          <w:szCs w:val="24"/>
        </w:rPr>
        <w:t>pilvo</w:t>
      </w:r>
      <w:proofErr w:type="spellEnd"/>
      <w:r>
        <w:rPr>
          <w:rFonts w:cs="TimesNewRomanPSMT"/>
          <w:sz w:val="24"/>
          <w:szCs w:val="24"/>
        </w:rPr>
        <w:t xml:space="preserve"> </w:t>
      </w:r>
      <w:proofErr w:type="spellStart"/>
      <w:r>
        <w:rPr>
          <w:rFonts w:cs="TimesNewRomanPSMT"/>
          <w:sz w:val="24"/>
          <w:szCs w:val="24"/>
        </w:rPr>
        <w:t>ertmėje</w:t>
      </w:r>
      <w:proofErr w:type="spellEnd"/>
      <w:r>
        <w:rPr>
          <w:rFonts w:cs="TimesNewRomanPSMT"/>
          <w:sz w:val="24"/>
          <w:szCs w:val="24"/>
        </w:rPr>
        <w:t>.</w:t>
      </w:r>
    </w:p>
    <w:bookmarkEnd w:id="0"/>
    <w:p w14:paraId="0B170CE0"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The liver is a common target for metastases, mainly</w:t>
      </w:r>
    </w:p>
    <w:p w14:paraId="0E55A01B"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through the portal system, which drains most abdominal</w:t>
      </w:r>
    </w:p>
    <w:p w14:paraId="05EBDE2A"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lastRenderedPageBreak/>
        <w:t>structures. Primary hepatic neoplasms such as</w:t>
      </w:r>
    </w:p>
    <w:p w14:paraId="44B6A722"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 xml:space="preserve">hepatocellular carcinomas can also </w:t>
      </w:r>
      <w:proofErr w:type="gramStart"/>
      <w:r>
        <w:rPr>
          <w:rFonts w:ascii="PalatinoLTStd-Roman" w:hAnsi="PalatinoLTStd-Roman" w:cs="PalatinoLTStd-Roman"/>
          <w:color w:val="231F20"/>
          <w:sz w:val="20"/>
          <w:szCs w:val="20"/>
        </w:rPr>
        <w:t>be seen as</w:t>
      </w:r>
      <w:proofErr w:type="gramEnd"/>
      <w:r>
        <w:rPr>
          <w:rFonts w:ascii="PalatinoLTStd-Roman" w:hAnsi="PalatinoLTStd-Roman" w:cs="PalatinoLTStd-Roman"/>
          <w:color w:val="231F20"/>
          <w:sz w:val="20"/>
          <w:szCs w:val="20"/>
        </w:rPr>
        <w:t xml:space="preserve"> focal</w:t>
      </w:r>
    </w:p>
    <w:p w14:paraId="2E368DD5"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or multifocal masses, although less frequently than</w:t>
      </w:r>
    </w:p>
    <w:p w14:paraId="7DEBECFB"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metastasis. The variable tissue characteristics of primary</w:t>
      </w:r>
    </w:p>
    <w:p w14:paraId="5EEF59C2"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and metastatic neoplastic processes, including</w:t>
      </w:r>
    </w:p>
    <w:p w14:paraId="1F535BFE"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tissue density, vascular pattern, necrosis, liquefaction,</w:t>
      </w:r>
    </w:p>
    <w:p w14:paraId="5BFCE40E"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and calcification, cause variable ultrasonographic</w:t>
      </w:r>
    </w:p>
    <w:p w14:paraId="0FC5E38D"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appearances (</w:t>
      </w:r>
      <w:proofErr w:type="spellStart"/>
      <w:r>
        <w:rPr>
          <w:rFonts w:ascii="PalatinoLTStd-Roman" w:hAnsi="PalatinoLTStd-Roman" w:cs="PalatinoLTStd-Roman"/>
          <w:color w:val="231F20"/>
          <w:sz w:val="20"/>
          <w:szCs w:val="20"/>
        </w:rPr>
        <w:t>Whiteley</w:t>
      </w:r>
      <w:proofErr w:type="spellEnd"/>
      <w:r>
        <w:rPr>
          <w:rFonts w:ascii="PalatinoLTStd-Roman" w:hAnsi="PalatinoLTStd-Roman" w:cs="PalatinoLTStd-Roman"/>
          <w:color w:val="231F20"/>
          <w:sz w:val="20"/>
          <w:szCs w:val="20"/>
        </w:rPr>
        <w:t xml:space="preserve"> et al. 1989; O’Brien et al.</w:t>
      </w:r>
    </w:p>
    <w:p w14:paraId="35B7525E"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2004) (Figures 6.28–6.32, 6.36–6.38). Focal hypoechoic</w:t>
      </w:r>
    </w:p>
    <w:p w14:paraId="54DFB830"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lesions with a hyperechoic center, also termed</w:t>
      </w:r>
    </w:p>
    <w:p w14:paraId="25A9F3B0"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Bold" w:hAnsi="PalatinoLTStd-Bold" w:cs="PalatinoLTStd-Bold"/>
          <w:b/>
          <w:bCs/>
          <w:color w:val="231F20"/>
          <w:sz w:val="20"/>
          <w:szCs w:val="20"/>
        </w:rPr>
        <w:t>target lesions</w:t>
      </w:r>
      <w:r>
        <w:rPr>
          <w:rFonts w:ascii="PalatinoLTStd-Roman" w:hAnsi="PalatinoLTStd-Roman" w:cs="PalatinoLTStd-Roman"/>
          <w:color w:val="231F20"/>
          <w:sz w:val="20"/>
          <w:szCs w:val="20"/>
        </w:rPr>
        <w:t>, are usually predictive of metastases</w:t>
      </w:r>
    </w:p>
    <w:p w14:paraId="03F67025"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(Figures 6.30, 6.33), although benign processes, such</w:t>
      </w:r>
    </w:p>
    <w:p w14:paraId="203900AD"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as nodular hyperplasia, can cause a similar pattern</w:t>
      </w:r>
    </w:p>
    <w:p w14:paraId="45DBC065"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w:t>
      </w:r>
      <w:proofErr w:type="spellStart"/>
      <w:r>
        <w:rPr>
          <w:rFonts w:ascii="PalatinoLTStd-Roman" w:hAnsi="PalatinoLTStd-Roman" w:cs="PalatinoLTStd-Roman"/>
          <w:color w:val="231F20"/>
          <w:sz w:val="20"/>
          <w:szCs w:val="20"/>
        </w:rPr>
        <w:t>Cuccovillo</w:t>
      </w:r>
      <w:proofErr w:type="spellEnd"/>
      <w:r>
        <w:rPr>
          <w:rFonts w:ascii="PalatinoLTStd-Roman" w:hAnsi="PalatinoLTStd-Roman" w:cs="PalatinoLTStd-Roman"/>
          <w:color w:val="231F20"/>
          <w:sz w:val="20"/>
          <w:szCs w:val="20"/>
        </w:rPr>
        <w:t xml:space="preserve"> and Lamb 2002; O’Brien et al. 2004)</w:t>
      </w:r>
    </w:p>
    <w:p w14:paraId="1A70AA7A"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(Figure 6.40C). It has been reported that the finding</w:t>
      </w:r>
    </w:p>
    <w:p w14:paraId="6F48BE3E"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of at least one target lesion in the liver or spleen had</w:t>
      </w:r>
    </w:p>
    <w:p w14:paraId="54B74C01"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a positive predictive value of 74% for malignancy</w:t>
      </w:r>
    </w:p>
    <w:p w14:paraId="16EBA964"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in small animals (</w:t>
      </w:r>
      <w:proofErr w:type="spellStart"/>
      <w:r>
        <w:rPr>
          <w:rFonts w:ascii="PalatinoLTStd-Roman" w:hAnsi="PalatinoLTStd-Roman" w:cs="PalatinoLTStd-Roman"/>
          <w:color w:val="231F20"/>
          <w:sz w:val="20"/>
          <w:szCs w:val="20"/>
        </w:rPr>
        <w:t>Cuccovillo</w:t>
      </w:r>
      <w:proofErr w:type="spellEnd"/>
      <w:r>
        <w:rPr>
          <w:rFonts w:ascii="PalatinoLTStd-Roman" w:hAnsi="PalatinoLTStd-Roman" w:cs="PalatinoLTStd-Roman"/>
          <w:color w:val="231F20"/>
          <w:sz w:val="20"/>
          <w:szCs w:val="20"/>
        </w:rPr>
        <w:t xml:space="preserve"> and Lamb 2002). Other</w:t>
      </w:r>
    </w:p>
    <w:p w14:paraId="69CE31CD"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features supportive of malignancy include lesion size</w:t>
      </w:r>
    </w:p>
    <w:p w14:paraId="26596276"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w:t>
      </w:r>
      <w:r>
        <w:rPr>
          <w:rFonts w:ascii="STIXMath-Italic" w:hAnsi="STIXMath-Italic" w:cs="STIXMath-Italic"/>
          <w:i/>
          <w:iCs/>
          <w:color w:val="231F20"/>
          <w:sz w:val="20"/>
          <w:szCs w:val="20"/>
        </w:rPr>
        <w:t>&gt;</w:t>
      </w:r>
      <w:r>
        <w:rPr>
          <w:rFonts w:ascii="PalatinoLTStd-Roman" w:hAnsi="PalatinoLTStd-Roman" w:cs="PalatinoLTStd-Roman"/>
          <w:color w:val="231F20"/>
          <w:sz w:val="20"/>
          <w:szCs w:val="20"/>
        </w:rPr>
        <w:t>3 cm) and presence of peritoneal effusion (Guillot</w:t>
      </w:r>
    </w:p>
    <w:p w14:paraId="4E230C4D"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et al. 2009; Murakami et al. 2012). Additional features</w:t>
      </w:r>
    </w:p>
    <w:p w14:paraId="319BD218"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distinguishing malignant from benign hepatic</w:t>
      </w:r>
    </w:p>
    <w:p w14:paraId="41D7C0AE" w14:textId="77777777" w:rsidR="00CE4A19" w:rsidRDefault="00CE4A19" w:rsidP="00CE4A19">
      <w:pPr>
        <w:autoSpaceDE w:val="0"/>
        <w:autoSpaceDN w:val="0"/>
        <w:adjustRightInd w:val="0"/>
        <w:spacing w:after="0" w:line="240" w:lineRule="auto"/>
        <w:rPr>
          <w:rFonts w:ascii="PalatinoLTStd-Roman" w:hAnsi="PalatinoLTStd-Roman" w:cs="PalatinoLTStd-Roman"/>
          <w:color w:val="231F20"/>
          <w:sz w:val="20"/>
          <w:szCs w:val="20"/>
        </w:rPr>
      </w:pPr>
      <w:r>
        <w:rPr>
          <w:rFonts w:ascii="PalatinoLTStd-Roman" w:hAnsi="PalatinoLTStd-Roman" w:cs="PalatinoLTStd-Roman"/>
          <w:color w:val="231F20"/>
          <w:sz w:val="20"/>
          <w:szCs w:val="20"/>
        </w:rPr>
        <w:t>masses may be found with triple-phase computed</w:t>
      </w:r>
    </w:p>
    <w:p w14:paraId="4ACBFC4C" w14:textId="0D07A483" w:rsidR="00CE4A19" w:rsidRPr="00172427" w:rsidRDefault="00CE4A19" w:rsidP="00CE4A19">
      <w:pPr>
        <w:rPr>
          <w:rFonts w:cs="TimesNewRomanPSMT"/>
          <w:b/>
          <w:bCs/>
          <w:sz w:val="24"/>
          <w:szCs w:val="24"/>
        </w:rPr>
      </w:pPr>
      <w:r>
        <w:rPr>
          <w:rFonts w:ascii="PalatinoLTStd-Roman" w:hAnsi="PalatinoLTStd-Roman" w:cs="PalatinoLTStd-Roman"/>
          <w:color w:val="231F20"/>
          <w:sz w:val="20"/>
          <w:szCs w:val="20"/>
        </w:rPr>
        <w:t>tomography (CT) (</w:t>
      </w:r>
      <w:proofErr w:type="spellStart"/>
      <w:r>
        <w:rPr>
          <w:rFonts w:ascii="PalatinoLTStd-Roman" w:hAnsi="PalatinoLTStd-Roman" w:cs="PalatinoLTStd-Roman"/>
          <w:color w:val="231F20"/>
          <w:sz w:val="20"/>
          <w:szCs w:val="20"/>
        </w:rPr>
        <w:t>Kutura</w:t>
      </w:r>
      <w:proofErr w:type="spellEnd"/>
      <w:r>
        <w:rPr>
          <w:rFonts w:ascii="PalatinoLTStd-Roman" w:hAnsi="PalatinoLTStd-Roman" w:cs="PalatinoLTStd-Roman"/>
          <w:color w:val="231F20"/>
          <w:sz w:val="20"/>
          <w:szCs w:val="20"/>
        </w:rPr>
        <w:t xml:space="preserve"> et al. 2013).</w:t>
      </w:r>
    </w:p>
    <w:sectPr w:rsidR="00CE4A19" w:rsidRPr="00172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PalatinoLTStd-Roman">
    <w:altName w:val="Palatino Linotype"/>
    <w:panose1 w:val="00000000000000000000"/>
    <w:charset w:val="00"/>
    <w:family w:val="auto"/>
    <w:notTrueType/>
    <w:pitch w:val="default"/>
    <w:sig w:usb0="00000003" w:usb1="00000000" w:usb2="00000000" w:usb3="00000000" w:csb0="00000001" w:csb1="00000000"/>
  </w:font>
  <w:font w:name="UniversLTStd-BoldObl">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PalatinoLTStd-Bold">
    <w:altName w:val="Palatino Linotype"/>
    <w:panose1 w:val="00000000000000000000"/>
    <w:charset w:val="00"/>
    <w:family w:val="auto"/>
    <w:notTrueType/>
    <w:pitch w:val="default"/>
    <w:sig w:usb0="00000003" w:usb1="00000000" w:usb2="00000000" w:usb3="00000000" w:csb0="00000001" w:csb1="00000000"/>
  </w:font>
  <w:font w:name="STIXMath-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A5"/>
    <w:rsid w:val="00172427"/>
    <w:rsid w:val="001E5153"/>
    <w:rsid w:val="004116AD"/>
    <w:rsid w:val="007238C7"/>
    <w:rsid w:val="007D1C71"/>
    <w:rsid w:val="00950810"/>
    <w:rsid w:val="009B24A5"/>
    <w:rsid w:val="00A75C05"/>
    <w:rsid w:val="00AD4C8D"/>
    <w:rsid w:val="00B96031"/>
    <w:rsid w:val="00CC27E7"/>
    <w:rsid w:val="00CE4A19"/>
    <w:rsid w:val="00D84A3E"/>
    <w:rsid w:val="00E232C4"/>
    <w:rsid w:val="00EC4F60"/>
    <w:rsid w:val="00FF0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A3A18"/>
  <w15:chartTrackingRefBased/>
  <w15:docId w15:val="{3CDB194E-BD0D-4D47-91B3-0B6A7306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32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32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61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4</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austeja zy</dc:creator>
  <cp:keywords/>
  <dc:description/>
  <cp:lastModifiedBy>austeja zy</cp:lastModifiedBy>
  <cp:revision>3</cp:revision>
  <dcterms:created xsi:type="dcterms:W3CDTF">2022-03-08T09:47:00Z</dcterms:created>
  <dcterms:modified xsi:type="dcterms:W3CDTF">2022-03-08T16:57:00Z</dcterms:modified>
</cp:coreProperties>
</file>