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Full Care Channel Cooperation Agreement</w:t>
      </w:r>
    </w:p>
    <w:p>
      <w:pPr>
        <w:jc w:val="left"/>
      </w:pPr>
      <w:r>
        <w:rPr>
          <w:color w:val="5B6573"/>
          <w:sz w:val="22"/>
        </w:rPr>
        <w:t>全程托管渠道合作及佣金协议模板  |  Version 2026-08-05</w:t>
      </w:r>
    </w:p>
    <w:tbl>
      <w:tblPr>
        <w:tblW w:type="auto" w:w="0"/>
        <w:tblLayout w:type="autofit"/>
        <w:tblLook w:firstColumn="1" w:firstRow="1" w:lastColumn="0" w:lastRow="0" w:noHBand="0" w:noVBand="1" w:val="04A0"/>
      </w:tblPr>
      <w:tblGrid>
        <w:gridCol w:w="9866"/>
      </w:tblGrid>
      <w:tr>
        <w:trPr>
          <w:cantSplit/>
        </w:trPr>
        <w:tc>
          <w:tcPr>
            <w:tcW w:type="dxa" w:w="9866"/>
            <w:shd w:fill="EC5E0A"/>
          </w:tcPr>
          <w:p/>
        </w:tc>
      </w:tr>
    </w:tbl>
    <w:p/>
    <w:tbl>
      <w:tblPr>
        <w:tblStyle w:val="TableGrid"/>
        <w:tblW w:type="auto" w:w="0"/>
        <w:tblLook w:firstColumn="1" w:firstRow="1" w:lastColumn="0" w:lastRow="0" w:noHBand="0" w:noVBand="1" w:val="04A0"/>
      </w:tblPr>
      <w:tblGrid>
        <w:gridCol w:w="9866"/>
      </w:tblGrid>
      <w:tr>
        <w:trPr>
          <w:cantSplit/>
        </w:trPr>
        <w:tc>
          <w:tcPr>
            <w:tcW w:type="dxa" w:w="9866"/>
            <w:shd w:fill="FFF7ED"/>
            <w:tcMar>
              <w:top w:w="140" w:type="dxa"/>
              <w:start w:w="120" w:type="dxa"/>
              <w:bottom w:w="140" w:type="dxa"/>
              <w:end w:w="120" w:type="dxa"/>
            </w:tcMar>
          </w:tcPr>
          <w:p>
            <w:r>
              <w:t>Draft for commercial and legal review / 本文件为商务及法律审核模板。签署前请由熟悉新加坡教育服务、税务和个人资料保护的专业人士复核。</w:t>
            </w:r>
          </w:p>
        </w:tc>
      </w:tr>
    </w:tbl>
    <w:p>
      <w:pPr>
        <w:pStyle w:val="Heading1"/>
      </w:pPr>
      <w:r>
        <w:t>Parties / 合作双方</w:t>
      </w:r>
    </w:p>
    <w:tbl>
      <w:tblPr>
        <w:tblStyle w:val="TableGrid"/>
        <w:tblW w:type="auto" w:w="0"/>
        <w:jc w:val="center"/>
        <w:tblLook w:firstColumn="1" w:firstRow="1" w:lastColumn="0" w:lastRow="0" w:noHBand="0" w:noVBand="1" w:val="04A0"/>
      </w:tblPr>
      <w:tblGrid>
        <w:gridCol w:w="4933"/>
        <w:gridCol w:w="4933"/>
      </w:tblGrid>
      <w:tr>
        <w:trPr>
          <w:cantSplit/>
        </w:trPr>
        <w:tc>
          <w:tcPr>
            <w:tcW w:type="dxa" w:w="4933"/>
            <w:shd w:fill="EEF5F1"/>
            <w:vAlign w:val="center"/>
            <w:tcMar>
              <w:top w:w="100" w:type="dxa"/>
              <w:start w:w="120" w:type="dxa"/>
              <w:bottom w:w="100" w:type="dxa"/>
              <w:end w:w="120" w:type="dxa"/>
            </w:tcMar>
          </w:tcPr>
          <w:p>
            <w:pPr>
              <w:spacing w:after="0"/>
            </w:pPr>
            <w:r>
              <w:rPr>
                <w:b/>
              </w:rPr>
              <w:t>Company / 公司</w:t>
            </w:r>
          </w:p>
        </w:tc>
        <w:tc>
          <w:tcPr>
            <w:tcW w:type="dxa" w:w="4933"/>
            <w:vAlign w:val="center"/>
            <w:tcMar>
              <w:top w:w="100" w:type="dxa"/>
              <w:start w:w="120" w:type="dxa"/>
              <w:bottom w:w="100" w:type="dxa"/>
              <w:end w:w="120" w:type="dxa"/>
            </w:tcMar>
          </w:tcPr>
          <w:p>
            <w:pPr>
              <w:spacing w:after="0"/>
            </w:pPr>
            <w:r>
              <w:t>GT Educational Institute Pte. Ltd. (UEN 202303312G)</w:t>
            </w:r>
          </w:p>
        </w:tc>
      </w:tr>
      <w:tr>
        <w:trPr>
          <w:cantSplit/>
        </w:trPr>
        <w:tc>
          <w:tcPr>
            <w:tcW w:type="dxa" w:w="4933"/>
            <w:shd w:fill="EEF5F1"/>
            <w:vAlign w:val="center"/>
            <w:tcMar>
              <w:top w:w="100" w:type="dxa"/>
              <w:start w:w="120" w:type="dxa"/>
              <w:bottom w:w="100" w:type="dxa"/>
              <w:end w:w="120" w:type="dxa"/>
            </w:tcMar>
          </w:tcPr>
          <w:p>
            <w:pPr>
              <w:spacing w:after="0"/>
            </w:pPr>
            <w:r>
              <w:rPr>
                <w:b/>
              </w:rPr>
              <w:t>Channel Partner / 渠道合作方</w:t>
            </w:r>
          </w:p>
        </w:tc>
        <w:tc>
          <w:tcPr>
            <w:tcW w:type="dxa" w:w="4933"/>
            <w:vAlign w:val="center"/>
            <w:tcMar>
              <w:top w:w="100" w:type="dxa"/>
              <w:start w:w="120" w:type="dxa"/>
              <w:bottom w:w="100" w:type="dxa"/>
              <w:end w:w="120" w:type="dxa"/>
            </w:tcMar>
          </w:tcPr>
          <w:p>
            <w:pPr>
              <w:spacing w:after="0"/>
            </w:pPr>
            <w:r>
              <w:t>____________________________________________</w:t>
            </w:r>
          </w:p>
        </w:tc>
      </w:tr>
      <w:tr>
        <w:trPr>
          <w:cantSplit/>
        </w:trPr>
        <w:tc>
          <w:tcPr>
            <w:tcW w:type="dxa" w:w="4933"/>
            <w:shd w:fill="EEF5F1"/>
            <w:vAlign w:val="center"/>
            <w:tcMar>
              <w:top w:w="100" w:type="dxa"/>
              <w:start w:w="120" w:type="dxa"/>
              <w:bottom w:w="100" w:type="dxa"/>
              <w:end w:w="120" w:type="dxa"/>
            </w:tcMar>
          </w:tcPr>
          <w:p>
            <w:pPr>
              <w:spacing w:after="0"/>
            </w:pPr>
            <w:r>
              <w:rPr>
                <w:b/>
              </w:rPr>
              <w:t>Registration No. / 注册号</w:t>
            </w:r>
          </w:p>
        </w:tc>
        <w:tc>
          <w:tcPr>
            <w:tcW w:type="dxa" w:w="4933"/>
            <w:vAlign w:val="center"/>
            <w:tcMar>
              <w:top w:w="100" w:type="dxa"/>
              <w:start w:w="120" w:type="dxa"/>
              <w:bottom w:w="100" w:type="dxa"/>
              <w:end w:w="120" w:type="dxa"/>
            </w:tcMar>
          </w:tcPr>
          <w:p>
            <w:pPr>
              <w:spacing w:after="0"/>
            </w:pPr>
            <w:r>
              <w:t>____________________________________________</w:t>
            </w:r>
          </w:p>
        </w:tc>
      </w:tr>
      <w:tr>
        <w:trPr>
          <w:cantSplit/>
        </w:trPr>
        <w:tc>
          <w:tcPr>
            <w:tcW w:type="dxa" w:w="4933"/>
            <w:shd w:fill="EEF5F1"/>
            <w:vAlign w:val="center"/>
            <w:tcMar>
              <w:top w:w="100" w:type="dxa"/>
              <w:start w:w="120" w:type="dxa"/>
              <w:bottom w:w="100" w:type="dxa"/>
              <w:end w:w="120" w:type="dxa"/>
            </w:tcMar>
          </w:tcPr>
          <w:p>
            <w:pPr>
              <w:spacing w:after="0"/>
            </w:pPr>
            <w:r>
              <w:rPr>
                <w:b/>
              </w:rPr>
              <w:t>Effective Date / 生效日</w:t>
            </w:r>
          </w:p>
        </w:tc>
        <w:tc>
          <w:tcPr>
            <w:tcW w:type="dxa" w:w="4933"/>
            <w:vAlign w:val="center"/>
            <w:tcMar>
              <w:top w:w="100" w:type="dxa"/>
              <w:start w:w="120" w:type="dxa"/>
              <w:bottom w:w="100" w:type="dxa"/>
              <w:end w:w="120" w:type="dxa"/>
            </w:tcMar>
          </w:tcPr>
          <w:p>
            <w:pPr>
              <w:spacing w:after="0"/>
            </w:pPr>
            <w:r>
              <w:t>____________________________________________</w:t>
            </w:r>
          </w:p>
        </w:tc>
      </w:tr>
      <w:tr>
        <w:trPr>
          <w:cantSplit/>
        </w:trPr>
        <w:tc>
          <w:tcPr>
            <w:tcW w:type="dxa" w:w="4933"/>
            <w:shd w:fill="EEF5F1"/>
            <w:vAlign w:val="center"/>
            <w:tcMar>
              <w:top w:w="100" w:type="dxa"/>
              <w:start w:w="120" w:type="dxa"/>
              <w:bottom w:w="100" w:type="dxa"/>
              <w:end w:w="120" w:type="dxa"/>
            </w:tcMar>
          </w:tcPr>
          <w:p>
            <w:pPr>
              <w:spacing w:after="0"/>
            </w:pPr>
            <w:r>
              <w:rPr>
                <w:b/>
              </w:rPr>
              <w:t>Primary Contact / 主要联系人</w:t>
            </w:r>
          </w:p>
        </w:tc>
        <w:tc>
          <w:tcPr>
            <w:tcW w:type="dxa" w:w="4933"/>
            <w:vAlign w:val="center"/>
            <w:tcMar>
              <w:top w:w="100" w:type="dxa"/>
              <w:start w:w="120" w:type="dxa"/>
              <w:bottom w:w="100" w:type="dxa"/>
              <w:end w:w="120" w:type="dxa"/>
            </w:tcMar>
          </w:tcPr>
          <w:p>
            <w:pPr>
              <w:spacing w:after="0"/>
            </w:pPr>
            <w:r>
              <w:t>____________________________________________</w:t>
            </w:r>
          </w:p>
        </w:tc>
      </w:tr>
    </w:tbl>
    <w:p>
      <w:pPr>
        <w:pStyle w:val="Heading2"/>
      </w:pPr>
      <w:r>
        <w:t>1. Purpose / 合作目的</w:t>
      </w:r>
    </w:p>
    <w:p>
      <w:r>
        <w:rPr>
          <w:b/>
          <w:color w:val="1F2937"/>
        </w:rPr>
        <w:t>The Channel Partner may introduce suitable families to the Company's Full Care and tuition services. The Company retains sole authority over assessment, scope, pricing approval, contracting, service delivery, billing, risk decisions, and parent communications.</w:t>
      </w:r>
    </w:p>
    <w:p>
      <w:pPr>
        <w:spacing w:after="140"/>
      </w:pPr>
      <w:r>
        <w:t>渠道合作方可以向公司介绍适合全程托管及补习服务的家庭。学生评估、服务范围、价格审批、签约、交付、收费、风险判断和家长沟通均由公司保留最终决定权。</w:t>
      </w:r>
    </w:p>
    <w:p>
      <w:pPr>
        <w:pStyle w:val="Heading2"/>
      </w:pPr>
      <w:r>
        <w:t>2. Qualified lead and ownership / 有效资源与归属</w:t>
      </w:r>
    </w:p>
    <w:p>
      <w:r>
        <w:rPr>
          <w:b/>
          <w:color w:val="1F2937"/>
        </w:rPr>
        <w:t>A qualified lead must be registered through the Company's designated written channel before the first formal consultation and include the parent name, student name, contact method, school or stage, and consent to be contacted. Existing customers, duplicate records, and leads already in active discussion are excluded. Lead protection lasts 90 days from acceptance unless extended in writing.</w:t>
      </w:r>
    </w:p>
    <w:p>
      <w:pPr>
        <w:spacing w:after="140"/>
      </w:pPr>
      <w:r>
        <w:t>有效资源须在首次正式咨询前通过公司指定书面渠道登记，并提供家长姓名、学生姓名、联系方式、学校或阶段，以及同意被联系的确认。公司现有客户、重复资源及已经进入有效沟通的资源不计入。资源保护期自公司确认之日起90天，除非双方书面延长。</w:t>
      </w:r>
    </w:p>
    <w:p>
      <w:pPr>
        <w:pStyle w:val="Heading2"/>
      </w:pPr>
      <w:r>
        <w:t>3. Approved prices / 统一报价</w:t>
      </w:r>
    </w:p>
    <w:p>
      <w:r>
        <w:rPr>
          <w:b/>
          <w:color w:val="1F2937"/>
        </w:rPr>
        <w:t>The Channel Partner must use the current Company price sheet and may not promise discounts, free hours, guaranteed results, 24-hour on-site attendance, legal guardianship, medical decisions, or any service outside the signed scope. All exceptions require written Company approval before being communicated to a family.</w:t>
      </w:r>
    </w:p>
    <w:p>
      <w:pPr>
        <w:spacing w:after="140"/>
      </w:pPr>
      <w:r>
        <w:t>渠道合作方必须使用公司现行统一价目表，不得擅自承诺折扣、赠课、结果保证、24小时现场到场、法定监护、医疗决定或合同范围以外的服务。任何例外须在向家长表达前取得公司书面批准。</w:t>
      </w:r>
    </w:p>
    <w:p>
      <w:pPr>
        <w:pStyle w:val="Heading2"/>
      </w:pPr>
      <w:r>
        <w:t>4. Commission / 佣金</w:t>
      </w:r>
    </w:p>
    <w:p>
      <w:r>
        <w:rPr>
          <w:b/>
          <w:color w:val="1F2937"/>
        </w:rPr>
        <w:t>First-year commission is 15% of eligible net service revenue actually received by the Company. Renewal commission is 5% unless otherwise agreed. Commission excludes GST or other applicable taxes, refunds, chargebacks, third-party costs, transport, medical, accommodation, government or school fees, advances, and amounts not yet collected.</w:t>
      </w:r>
    </w:p>
    <w:p>
      <w:pPr>
        <w:spacing w:after="140"/>
      </w:pPr>
      <w:r>
        <w:t>首年佣金为公司实际收到的合资格净服务款的15%；续约佣金为5%，除非双方另有书面约定。佣金基数不包括GST或其他适用税费、退款、拒付、第三方费用、交通、医疗、住宿、政府或学校费用、代垫款及尚未到账款项。</w:t>
      </w:r>
    </w:p>
    <w:p>
      <w:pPr>
        <w:pStyle w:val="Heading2"/>
      </w:pPr>
      <w:r>
        <w:t>5. Settlement and clawback / 结算与冲回</w:t>
      </w:r>
    </w:p>
    <w:p>
      <w:r>
        <w:rPr>
          <w:b/>
          <w:color w:val="1F2937"/>
        </w:rPr>
        <w:t>Commission is calculated after each payment is received and settled monthly within 15 business days after an approved statement. Instalment orders are commissioned instalment by instalment. Refunds, cancellations, or chargebacks reduce unpaid commission; previously paid commission may be offset against future statements or repaid within 15 business days.</w:t>
      </w:r>
    </w:p>
    <w:p>
      <w:pPr>
        <w:spacing w:after="140"/>
      </w:pPr>
      <w:r>
        <w:t>佣金在每笔款项实际到账后计算，并在双方确认月度结算单后15个工作日内结算。分期订单按每期实收款逐期计佣。发生退款、取消或拒付时，未结佣金相应减少；已支付佣金可从后续结算中抵扣，或在15个工作日内退回。</w:t>
      </w:r>
    </w:p>
    <w:p>
      <w:pPr>
        <w:pStyle w:val="Heading2"/>
      </w:pPr>
      <w:r>
        <w:t>6. Parent handover / 家长交接</w:t>
      </w:r>
    </w:p>
    <w:p>
      <w:r>
        <w:rPr>
          <w:b/>
          <w:color w:val="1F2937"/>
        </w:rPr>
        <w:t>The Channel Partner must hand over the parent's stated needs, known deadlines, material risks, promised statements, and communication history accurately. The Channel Partner must not conceal complaints or safety concerns and must escalate urgent matters to the Company immediately.</w:t>
      </w:r>
    </w:p>
    <w:p>
      <w:pPr>
        <w:spacing w:after="140"/>
      </w:pPr>
      <w:r>
        <w:t>渠道合作方须准确交接家长需求、已知截止日期、重大风险、已经作出的表达和沟通历史，不得隐瞒投诉或安全问题；紧急事项须立即升级给公司。</w:t>
      </w:r>
    </w:p>
    <w:p>
      <w:pPr>
        <w:pStyle w:val="Heading2"/>
      </w:pPr>
      <w:r>
        <w:t>7. Service boundaries and complaints / 服务边界与投诉</w:t>
      </w:r>
    </w:p>
    <w:p>
      <w:r>
        <w:rPr>
          <w:b/>
          <w:color w:val="1F2937"/>
        </w:rPr>
        <w:t>The Company delivers only the signed scope. The Channel Partner shall direct service complaints to the designated Company contact within one business day and shall not admit liability, promise compensation, or alter scope without written approval.</w:t>
      </w:r>
    </w:p>
    <w:p>
      <w:pPr>
        <w:spacing w:after="140"/>
      </w:pPr>
      <w:r>
        <w:t>公司只交付已签署的服务范围。渠道合作方应在一个工作日内把服务投诉转交公司指定联系人，未经书面批准不得承认责任、承诺赔偿或改变服务范围。</w:t>
      </w:r>
    </w:p>
    <w:p>
      <w:pPr>
        <w:pStyle w:val="Heading2"/>
      </w:pPr>
      <w:r>
        <w:t>8. Confidentiality and personal data / 保密及个人资料</w:t>
      </w:r>
    </w:p>
    <w:p>
      <w:r>
        <w:rPr>
          <w:b/>
          <w:color w:val="1F2937"/>
        </w:rPr>
        <w:t>Each party shall use family and student data only for the notified cooperation purpose, apply reasonable security, limit access to authorised personnel, stop unnecessary retention, and notify the other party promptly of any suspected unauthorised access or disclosure.</w:t>
      </w:r>
    </w:p>
    <w:p>
      <w:pPr>
        <w:spacing w:after="140"/>
      </w:pPr>
      <w:r>
        <w:t>双方只可为已经告知的合作目的使用家庭和学生资料，采取合理安全措施，仅允许授权人员访问，在不再需要时停止保存，并在怀疑发生未经授权访问或披露时及时通知对方。</w:t>
      </w:r>
    </w:p>
    <w:p>
      <w:pPr>
        <w:pStyle w:val="Heading2"/>
      </w:pPr>
      <w:r>
        <w:t>9. Records and audit / 记录与核对</w:t>
      </w:r>
    </w:p>
    <w:p>
      <w:r>
        <w:rPr>
          <w:b/>
          <w:color w:val="1F2937"/>
        </w:rPr>
        <w:t>The Company's signed contract, invoice, receipt, refund record, and approved channel statement are the primary settlement records. Both parties shall keep relevant records for the period required by their legal, tax, and operational obligations.</w:t>
      </w:r>
    </w:p>
    <w:p>
      <w:pPr>
        <w:spacing w:after="140"/>
      </w:pPr>
      <w:r>
        <w:t>公司的已签合同、发票、收据、退款记录和已确认渠道结算单是佣金核算的主要依据。双方应按各自法律、税务和运营义务保存相关记录。</w:t>
      </w:r>
    </w:p>
    <w:p>
      <w:pPr>
        <w:pStyle w:val="Heading2"/>
      </w:pPr>
      <w:r>
        <w:t>10. Term and termination / 期限与终止</w:t>
      </w:r>
    </w:p>
    <w:p>
      <w:r>
        <w:rPr>
          <w:b/>
          <w:color w:val="1F2937"/>
        </w:rPr>
        <w:t>Either party may terminate this Agreement on 30 days' written notice. Immediate termination is allowed for fraud, data misuse, unauthorised promises, serious reputational harm, or material breach. Termination does not remove accrued confidentiality, refund, clawback, or record obligations.</w:t>
      </w:r>
    </w:p>
    <w:p>
      <w:pPr>
        <w:spacing w:after="140"/>
      </w:pPr>
      <w:r>
        <w:t>任何一方可提前30日书面通知终止本协议。如发生欺诈、资料滥用、未经授权承诺、严重声誉损害或重大违约，可立即终止。终止不影响已经产生的保密、退款、佣金冲回和记录义务。</w:t>
      </w:r>
    </w:p>
    <w:p>
      <w:pPr>
        <w:pStyle w:val="Heading2"/>
      </w:pPr>
      <w:r>
        <w:t>11. Independent parties and law / 独立主体与适用法律</w:t>
      </w:r>
    </w:p>
    <w:p>
      <w:r>
        <w:rPr>
          <w:b/>
          <w:color w:val="1F2937"/>
        </w:rPr>
        <w:t>The Channel Partner is an independent contractor and has no authority to bind the Company. This Agreement is governed by Singapore law. The parties shall first attempt good-faith written resolution before commencing formal proceedings.</w:t>
      </w:r>
    </w:p>
    <w:p>
      <w:pPr>
        <w:spacing w:after="140"/>
      </w:pPr>
      <w:r>
        <w:t>渠道合作方为独立合作主体，无权代表公司作出具有约束力的承诺。本协议受新加坡法律管辖。正式程序开始前，双方应先诚信进行书面协商。</w:t>
      </w:r>
    </w:p>
    <w:p>
      <w:pPr>
        <w:pStyle w:val="Heading1"/>
      </w:pPr>
      <w:r>
        <w:t>Schedule A - Approved Full Care Prices / 附表A：全程托管渠道价</w:t>
      </w:r>
    </w:p>
    <w:tbl>
      <w:tblPr>
        <w:tblStyle w:val="TableGrid"/>
        <w:tblW w:type="auto" w:w="0"/>
        <w:jc w:val="center"/>
        <w:tblLook w:firstColumn="1" w:firstRow="1" w:lastColumn="0" w:lastRow="0" w:noHBand="0" w:noVBand="1" w:val="04A0"/>
      </w:tblPr>
      <w:tblGrid>
        <w:gridCol w:w="1973"/>
        <w:gridCol w:w="1973"/>
        <w:gridCol w:w="1973"/>
        <w:gridCol w:w="1973"/>
        <w:gridCol w:w="1973"/>
      </w:tblGrid>
      <w:tr>
        <w:trPr>
          <w:cantSplit/>
        </w:trPr>
        <w:tc>
          <w:tcPr>
            <w:tcW w:type="dxa" w:w="1973"/>
            <w:shd w:fill="23634F"/>
          </w:tcPr>
          <w:p>
            <w:r>
              <w:rPr>
                <w:b/>
                <w:color w:val="FFFFFF"/>
              </w:rPr>
              <w:t>Plan / 方案</w:t>
            </w:r>
          </w:p>
        </w:tc>
        <w:tc>
          <w:tcPr>
            <w:tcW w:type="dxa" w:w="1973"/>
            <w:shd w:fill="23634F"/>
          </w:tcPr>
          <w:p>
            <w:r>
              <w:rPr>
                <w:b/>
                <w:color w:val="FFFFFF"/>
              </w:rPr>
              <w:t>Hours / 课时</w:t>
            </w:r>
          </w:p>
        </w:tc>
        <w:tc>
          <w:tcPr>
            <w:tcW w:type="dxa" w:w="1973"/>
            <w:shd w:fill="23634F"/>
          </w:tcPr>
          <w:p>
            <w:r>
              <w:rPr>
                <w:b/>
                <w:color w:val="FFFFFF"/>
              </w:rPr>
              <w:t>Parent price / 家长价</w:t>
            </w:r>
          </w:p>
        </w:tc>
        <w:tc>
          <w:tcPr>
            <w:tcW w:type="dxa" w:w="1973"/>
            <w:shd w:fill="23634F"/>
          </w:tcPr>
          <w:p>
            <w:r>
              <w:rPr>
                <w:b/>
                <w:color w:val="FFFFFF"/>
              </w:rPr>
              <w:t>Commission / 佣金</w:t>
            </w:r>
          </w:p>
        </w:tc>
        <w:tc>
          <w:tcPr>
            <w:tcW w:type="dxa" w:w="1973"/>
            <w:shd w:fill="23634F"/>
          </w:tcPr>
          <w:p>
            <w:r>
              <w:rPr>
                <w:b/>
                <w:color w:val="FFFFFF"/>
              </w:rPr>
              <w:t>Company receipt / 公司实收</w:t>
            </w:r>
          </w:p>
        </w:tc>
      </w:tr>
      <w:tr>
        <w:trPr>
          <w:cantSplit/>
        </w:trPr>
        <w:tc>
          <w:tcPr>
            <w:tcW w:type="dxa" w:w="1973"/>
            <w:tcMar>
              <w:top w:w="100" w:type="dxa"/>
              <w:start w:w="120" w:type="dxa"/>
              <w:bottom w:w="100" w:type="dxa"/>
              <w:end w:w="120" w:type="dxa"/>
            </w:tcMar>
          </w:tcPr>
          <w:p>
            <w:r>
              <w:t>Academic Care / 学业托管</w:t>
            </w:r>
          </w:p>
        </w:tc>
        <w:tc>
          <w:tcPr>
            <w:tcW w:type="dxa" w:w="1973"/>
            <w:tcMar>
              <w:top w:w="100" w:type="dxa"/>
              <w:start w:w="120" w:type="dxa"/>
              <w:bottom w:w="100" w:type="dxa"/>
              <w:end w:w="120" w:type="dxa"/>
            </w:tcMar>
          </w:tcPr>
          <w:p>
            <w:r>
              <w:t>150</w:t>
            </w:r>
          </w:p>
        </w:tc>
        <w:tc>
          <w:tcPr>
            <w:tcW w:type="dxa" w:w="1973"/>
            <w:tcMar>
              <w:top w:w="100" w:type="dxa"/>
              <w:start w:w="120" w:type="dxa"/>
              <w:bottom w:w="100" w:type="dxa"/>
              <w:end w:w="120" w:type="dxa"/>
            </w:tcMar>
          </w:tcPr>
          <w:p>
            <w:r>
              <w:t>S$34,800</w:t>
            </w:r>
          </w:p>
        </w:tc>
        <w:tc>
          <w:tcPr>
            <w:tcW w:type="dxa" w:w="1973"/>
            <w:tcMar>
              <w:top w:w="100" w:type="dxa"/>
              <w:start w:w="120" w:type="dxa"/>
              <w:bottom w:w="100" w:type="dxa"/>
              <w:end w:w="120" w:type="dxa"/>
            </w:tcMar>
          </w:tcPr>
          <w:p>
            <w:r>
              <w:t>S$5,220</w:t>
            </w:r>
          </w:p>
        </w:tc>
        <w:tc>
          <w:tcPr>
            <w:tcW w:type="dxa" w:w="1973"/>
            <w:tcMar>
              <w:top w:w="100" w:type="dxa"/>
              <w:start w:w="120" w:type="dxa"/>
              <w:bottom w:w="100" w:type="dxa"/>
              <w:end w:w="120" w:type="dxa"/>
            </w:tcMar>
          </w:tcPr>
          <w:p>
            <w:r>
              <w:t>S$29,580</w:t>
            </w:r>
          </w:p>
        </w:tc>
      </w:tr>
      <w:tr>
        <w:trPr>
          <w:cantSplit/>
        </w:trPr>
        <w:tc>
          <w:tcPr>
            <w:tcW w:type="dxa" w:w="1973"/>
            <w:tcMar>
              <w:top w:w="100" w:type="dxa"/>
              <w:start w:w="120" w:type="dxa"/>
              <w:bottom w:w="100" w:type="dxa"/>
              <w:end w:w="120" w:type="dxa"/>
            </w:tcMar>
          </w:tcPr>
          <w:p>
            <w:r>
              <w:t>Academic Care / 学业托管</w:t>
            </w:r>
          </w:p>
        </w:tc>
        <w:tc>
          <w:tcPr>
            <w:tcW w:type="dxa" w:w="1973"/>
            <w:tcMar>
              <w:top w:w="100" w:type="dxa"/>
              <w:start w:w="120" w:type="dxa"/>
              <w:bottom w:w="100" w:type="dxa"/>
              <w:end w:w="120" w:type="dxa"/>
            </w:tcMar>
          </w:tcPr>
          <w:p>
            <w:r>
              <w:t>200</w:t>
            </w:r>
          </w:p>
        </w:tc>
        <w:tc>
          <w:tcPr>
            <w:tcW w:type="dxa" w:w="1973"/>
            <w:tcMar>
              <w:top w:w="100" w:type="dxa"/>
              <w:start w:w="120" w:type="dxa"/>
              <w:bottom w:w="100" w:type="dxa"/>
              <w:end w:w="120" w:type="dxa"/>
            </w:tcMar>
          </w:tcPr>
          <w:p>
            <w:r>
              <w:t>S$40,800</w:t>
            </w:r>
          </w:p>
        </w:tc>
        <w:tc>
          <w:tcPr>
            <w:tcW w:type="dxa" w:w="1973"/>
            <w:tcMar>
              <w:top w:w="100" w:type="dxa"/>
              <w:start w:w="120" w:type="dxa"/>
              <w:bottom w:w="100" w:type="dxa"/>
              <w:end w:w="120" w:type="dxa"/>
            </w:tcMar>
          </w:tcPr>
          <w:p>
            <w:r>
              <w:t>S$6,120</w:t>
            </w:r>
          </w:p>
        </w:tc>
        <w:tc>
          <w:tcPr>
            <w:tcW w:type="dxa" w:w="1973"/>
            <w:tcMar>
              <w:top w:w="100" w:type="dxa"/>
              <w:start w:w="120" w:type="dxa"/>
              <w:bottom w:w="100" w:type="dxa"/>
              <w:end w:w="120" w:type="dxa"/>
            </w:tcMar>
          </w:tcPr>
          <w:p>
            <w:r>
              <w:t>S$34,680</w:t>
            </w:r>
          </w:p>
        </w:tc>
      </w:tr>
      <w:tr>
        <w:trPr>
          <w:cantSplit/>
        </w:trPr>
        <w:tc>
          <w:tcPr>
            <w:tcW w:type="dxa" w:w="1973"/>
            <w:tcMar>
              <w:top w:w="100" w:type="dxa"/>
              <w:start w:w="120" w:type="dxa"/>
              <w:bottom w:w="100" w:type="dxa"/>
              <w:end w:w="120" w:type="dxa"/>
            </w:tcMar>
          </w:tcPr>
          <w:p>
            <w:r>
              <w:t>Academic Care / 学业托管</w:t>
            </w:r>
          </w:p>
        </w:tc>
        <w:tc>
          <w:tcPr>
            <w:tcW w:type="dxa" w:w="1973"/>
            <w:tcMar>
              <w:top w:w="100" w:type="dxa"/>
              <w:start w:w="120" w:type="dxa"/>
              <w:bottom w:w="100" w:type="dxa"/>
              <w:end w:w="120" w:type="dxa"/>
            </w:tcMar>
          </w:tcPr>
          <w:p>
            <w:r>
              <w:t>250</w:t>
            </w:r>
          </w:p>
        </w:tc>
        <w:tc>
          <w:tcPr>
            <w:tcW w:type="dxa" w:w="1973"/>
            <w:tcMar>
              <w:top w:w="100" w:type="dxa"/>
              <w:start w:w="120" w:type="dxa"/>
              <w:bottom w:w="100" w:type="dxa"/>
              <w:end w:w="120" w:type="dxa"/>
            </w:tcMar>
          </w:tcPr>
          <w:p>
            <w:r>
              <w:t>S$48,800</w:t>
            </w:r>
          </w:p>
        </w:tc>
        <w:tc>
          <w:tcPr>
            <w:tcW w:type="dxa" w:w="1973"/>
            <w:tcMar>
              <w:top w:w="100" w:type="dxa"/>
              <w:start w:w="120" w:type="dxa"/>
              <w:bottom w:w="100" w:type="dxa"/>
              <w:end w:w="120" w:type="dxa"/>
            </w:tcMar>
          </w:tcPr>
          <w:p>
            <w:r>
              <w:t>S$7,320</w:t>
            </w:r>
          </w:p>
        </w:tc>
        <w:tc>
          <w:tcPr>
            <w:tcW w:type="dxa" w:w="1973"/>
            <w:tcMar>
              <w:top w:w="100" w:type="dxa"/>
              <w:start w:w="120" w:type="dxa"/>
              <w:bottom w:w="100" w:type="dxa"/>
              <w:end w:w="120" w:type="dxa"/>
            </w:tcMar>
          </w:tcPr>
          <w:p>
            <w:r>
              <w:t>S$41,480</w:t>
            </w:r>
          </w:p>
        </w:tc>
      </w:tr>
      <w:tr>
        <w:trPr>
          <w:cantSplit/>
        </w:trPr>
        <w:tc>
          <w:tcPr>
            <w:tcW w:type="dxa" w:w="1973"/>
            <w:tcMar>
              <w:top w:w="100" w:type="dxa"/>
              <w:start w:w="120" w:type="dxa"/>
              <w:bottom w:w="100" w:type="dxa"/>
              <w:end w:w="120" w:type="dxa"/>
            </w:tcMar>
          </w:tcPr>
          <w:p>
            <w:r>
              <w:t>Academic Care / 学业托管</w:t>
            </w:r>
          </w:p>
        </w:tc>
        <w:tc>
          <w:tcPr>
            <w:tcW w:type="dxa" w:w="1973"/>
            <w:tcMar>
              <w:top w:w="100" w:type="dxa"/>
              <w:start w:w="120" w:type="dxa"/>
              <w:bottom w:w="100" w:type="dxa"/>
              <w:end w:w="120" w:type="dxa"/>
            </w:tcMar>
          </w:tcPr>
          <w:p>
            <w:r>
              <w:t>300</w:t>
            </w:r>
          </w:p>
        </w:tc>
        <w:tc>
          <w:tcPr>
            <w:tcW w:type="dxa" w:w="1973"/>
            <w:tcMar>
              <w:top w:w="100" w:type="dxa"/>
              <w:start w:w="120" w:type="dxa"/>
              <w:bottom w:w="100" w:type="dxa"/>
              <w:end w:w="120" w:type="dxa"/>
            </w:tcMar>
          </w:tcPr>
          <w:p>
            <w:r>
              <w:t>S$56,800</w:t>
            </w:r>
          </w:p>
        </w:tc>
        <w:tc>
          <w:tcPr>
            <w:tcW w:type="dxa" w:w="1973"/>
            <w:tcMar>
              <w:top w:w="100" w:type="dxa"/>
              <w:start w:w="120" w:type="dxa"/>
              <w:bottom w:w="100" w:type="dxa"/>
              <w:end w:w="120" w:type="dxa"/>
            </w:tcMar>
          </w:tcPr>
          <w:p>
            <w:r>
              <w:t>S$8,520</w:t>
            </w:r>
          </w:p>
        </w:tc>
        <w:tc>
          <w:tcPr>
            <w:tcW w:type="dxa" w:w="1973"/>
            <w:tcMar>
              <w:top w:w="100" w:type="dxa"/>
              <w:start w:w="120" w:type="dxa"/>
              <w:bottom w:w="100" w:type="dxa"/>
              <w:end w:w="120" w:type="dxa"/>
            </w:tcMar>
          </w:tcPr>
          <w:p>
            <w:r>
              <w:t>S$48,280</w:t>
            </w:r>
          </w:p>
        </w:tc>
      </w:tr>
      <w:tr>
        <w:trPr>
          <w:cantSplit/>
        </w:trPr>
        <w:tc>
          <w:tcPr>
            <w:tcW w:type="dxa" w:w="1973"/>
            <w:tcMar>
              <w:top w:w="100" w:type="dxa"/>
              <w:start w:w="120" w:type="dxa"/>
              <w:bottom w:w="100" w:type="dxa"/>
              <w:end w:w="120" w:type="dxa"/>
            </w:tcMar>
          </w:tcPr>
          <w:p>
            <w:r>
              <w:t>No-parent coordination add-on / 无陪读协调附加</w:t>
            </w:r>
          </w:p>
        </w:tc>
        <w:tc>
          <w:tcPr>
            <w:tcW w:type="dxa" w:w="1973"/>
            <w:tcMar>
              <w:top w:w="100" w:type="dxa"/>
              <w:start w:w="120" w:type="dxa"/>
              <w:bottom w:w="100" w:type="dxa"/>
              <w:end w:w="120" w:type="dxa"/>
            </w:tcMar>
          </w:tcPr>
          <w:p>
            <w:r>
              <w:t>-</w:t>
            </w:r>
          </w:p>
        </w:tc>
        <w:tc>
          <w:tcPr>
            <w:tcW w:type="dxa" w:w="1973"/>
            <w:tcMar>
              <w:top w:w="100" w:type="dxa"/>
              <w:start w:w="120" w:type="dxa"/>
              <w:bottom w:w="100" w:type="dxa"/>
              <w:end w:w="120" w:type="dxa"/>
            </w:tcMar>
          </w:tcPr>
          <w:p>
            <w:r>
              <w:t>S$7,800</w:t>
            </w:r>
          </w:p>
        </w:tc>
        <w:tc>
          <w:tcPr>
            <w:tcW w:type="dxa" w:w="1973"/>
            <w:tcMar>
              <w:top w:w="100" w:type="dxa"/>
              <w:start w:w="120" w:type="dxa"/>
              <w:bottom w:w="100" w:type="dxa"/>
              <w:end w:w="120" w:type="dxa"/>
            </w:tcMar>
          </w:tcPr>
          <w:p>
            <w:r>
              <w:t>S$1,170</w:t>
            </w:r>
          </w:p>
        </w:tc>
        <w:tc>
          <w:tcPr>
            <w:tcW w:type="dxa" w:w="1973"/>
            <w:tcMar>
              <w:top w:w="100" w:type="dxa"/>
              <w:start w:w="120" w:type="dxa"/>
              <w:bottom w:w="100" w:type="dxa"/>
              <w:end w:w="120" w:type="dxa"/>
            </w:tcMar>
          </w:tcPr>
          <w:p>
            <w:r>
              <w:t>S$6,630</w:t>
            </w:r>
          </w:p>
        </w:tc>
      </w:tr>
    </w:tbl>
    <w:p>
      <w:r>
        <w:t>Prices include the Full Care package only as approved by the Company. Taxes, external costs, and exceptional written arrangements are handled separately. / 上述为公司批准的全托管渠道价格；税费、外部费用和特殊书面安排另行处理。</w:t>
      </w:r>
    </w:p>
    <w:p>
      <w:pPr>
        <w:pStyle w:val="Heading1"/>
      </w:pPr>
      <w:r>
        <w:t>Schedule B - Mandatory Handover / 附表B：必交接资料</w:t>
      </w:r>
    </w:p>
    <w:p>
      <w:pPr>
        <w:pStyle w:val="ListBullet"/>
      </w:pPr>
      <w:r>
        <w:t>Parent and student names, contact details, school, year level, and current location / 家长及学生姓名、联系方式、学校、年级及所在地</w:t>
      </w:r>
    </w:p>
    <w:p>
      <w:pPr>
        <w:pStyle w:val="ListBullet"/>
      </w:pPr>
      <w:r>
        <w:t>Main concerns, desired outcomes, known deadlines, and current services / 主要焦虑、希望结果、已知截止日期及当前服务</w:t>
      </w:r>
    </w:p>
    <w:p>
      <w:pPr>
        <w:pStyle w:val="ListBullet"/>
      </w:pPr>
      <w:r>
        <w:t>Any safety, attendance, discipline, health, accommodation, or legal concern already disclosed / 已披露的安全、出勤、纪律、健康、住宿或法律问题</w:t>
      </w:r>
    </w:p>
    <w:p>
      <w:pPr>
        <w:pStyle w:val="ListBullet"/>
      </w:pPr>
      <w:r>
        <w:t>Every price, scope, timeline, or result statement already made to the family / 已向家庭表达过的价格、范围、时间和结果</w:t>
      </w:r>
    </w:p>
    <w:p>
      <w:pPr>
        <w:pStyle w:val="ListBullet"/>
      </w:pPr>
      <w:r>
        <w:t>Consent for the Company to contact the family / 同意公司联系家庭的确认</w:t>
      </w:r>
    </w:p>
    <w:p/>
    <w:tbl>
      <w:tblPr>
        <w:tblStyle w:val="TableGrid"/>
        <w:tblW w:type="auto" w:w="0"/>
        <w:jc w:val="center"/>
        <w:tblLook w:firstColumn="1" w:firstRow="1" w:lastColumn="0" w:lastRow="0" w:noHBand="0" w:noVBand="1" w:val="04A0"/>
      </w:tblPr>
      <w:tblGrid>
        <w:gridCol w:w="4933"/>
        <w:gridCol w:w="4933"/>
      </w:tblGrid>
      <w:tr>
        <w:trPr>
          <w:cantSplit/>
        </w:trPr>
        <w:tc>
          <w:tcPr>
            <w:tcW w:type="dxa" w:w="4933"/>
            <w:tcMar>
              <w:top w:w="130" w:type="dxa"/>
              <w:start w:w="120" w:type="dxa"/>
              <w:bottom w:w="130" w:type="dxa"/>
              <w:end w:w="120" w:type="dxa"/>
            </w:tcMar>
            <w:shd w:fill="23634F"/>
          </w:tcPr>
          <w:p>
            <w:r>
              <w:rPr>
                <w:b/>
                <w:color w:val="FFFFFF"/>
              </w:rPr>
              <w:t>For the Company / 公司代表</w:t>
            </w:r>
          </w:p>
        </w:tc>
        <w:tc>
          <w:tcPr>
            <w:tcW w:type="dxa" w:w="4933"/>
            <w:tcMar>
              <w:top w:w="130" w:type="dxa"/>
              <w:start w:w="120" w:type="dxa"/>
              <w:bottom w:w="130" w:type="dxa"/>
              <w:end w:w="120" w:type="dxa"/>
            </w:tcMar>
            <w:shd w:fill="23634F"/>
          </w:tcPr>
          <w:p>
            <w:r>
              <w:rPr>
                <w:b/>
                <w:color w:val="FFFFFF"/>
              </w:rPr>
              <w:t>For the Channel Partner / 渠道合作方</w:t>
            </w:r>
          </w:p>
        </w:tc>
      </w:tr>
      <w:tr>
        <w:trPr>
          <w:cantSplit/>
        </w:trPr>
        <w:tc>
          <w:tcPr>
            <w:tcW w:type="dxa" w:w="4933"/>
            <w:tcMar>
              <w:top w:w="130" w:type="dxa"/>
              <w:start w:w="120" w:type="dxa"/>
              <w:bottom w:w="130" w:type="dxa"/>
              <w:end w:w="120" w:type="dxa"/>
            </w:tcMar>
          </w:tcPr>
          <w:p>
            <w:r>
              <w:t>Name / 姓名: __________________________</w:t>
            </w:r>
          </w:p>
        </w:tc>
        <w:tc>
          <w:tcPr>
            <w:tcW w:type="dxa" w:w="4933"/>
            <w:tcMar>
              <w:top w:w="130" w:type="dxa"/>
              <w:start w:w="120" w:type="dxa"/>
              <w:bottom w:w="130" w:type="dxa"/>
              <w:end w:w="120" w:type="dxa"/>
            </w:tcMar>
          </w:tcPr>
          <w:p>
            <w:r>
              <w:t>Name / 姓名: __________________________</w:t>
            </w:r>
          </w:p>
        </w:tc>
      </w:tr>
      <w:tr>
        <w:trPr>
          <w:cantSplit/>
        </w:trPr>
        <w:tc>
          <w:tcPr>
            <w:tcW w:type="dxa" w:w="4933"/>
            <w:tcMar>
              <w:top w:w="130" w:type="dxa"/>
              <w:start w:w="120" w:type="dxa"/>
              <w:bottom w:w="130" w:type="dxa"/>
              <w:end w:w="120" w:type="dxa"/>
            </w:tcMar>
          </w:tcPr>
          <w:p>
            <w:r>
              <w:t>Title / 职务: _________________________</w:t>
            </w:r>
          </w:p>
        </w:tc>
        <w:tc>
          <w:tcPr>
            <w:tcW w:type="dxa" w:w="4933"/>
            <w:tcMar>
              <w:top w:w="130" w:type="dxa"/>
              <w:start w:w="120" w:type="dxa"/>
              <w:bottom w:w="130" w:type="dxa"/>
              <w:end w:w="120" w:type="dxa"/>
            </w:tcMar>
          </w:tcPr>
          <w:p>
            <w:r>
              <w:t>Relationship / 关系: __________________</w:t>
            </w:r>
          </w:p>
        </w:tc>
      </w:tr>
      <w:tr>
        <w:trPr>
          <w:cantSplit/>
        </w:trPr>
        <w:tc>
          <w:tcPr>
            <w:tcW w:type="dxa" w:w="4933"/>
            <w:tcMar>
              <w:top w:w="130" w:type="dxa"/>
              <w:start w:w="120" w:type="dxa"/>
              <w:bottom w:w="130" w:type="dxa"/>
              <w:end w:w="120" w:type="dxa"/>
            </w:tcMar>
          </w:tcPr>
          <w:p>
            <w:r>
              <w:t>Signature / 签字: _____________________</w:t>
            </w:r>
          </w:p>
        </w:tc>
        <w:tc>
          <w:tcPr>
            <w:tcW w:type="dxa" w:w="4933"/>
            <w:tcMar>
              <w:top w:w="130" w:type="dxa"/>
              <w:start w:w="120" w:type="dxa"/>
              <w:bottom w:w="130" w:type="dxa"/>
              <w:end w:w="120" w:type="dxa"/>
            </w:tcMar>
          </w:tcPr>
          <w:p>
            <w:r>
              <w:t>Signature / 签字: _____________________</w:t>
            </w:r>
          </w:p>
        </w:tc>
      </w:tr>
      <w:tr>
        <w:trPr>
          <w:cantSplit/>
        </w:trPr>
        <w:tc>
          <w:tcPr>
            <w:tcW w:type="dxa" w:w="4933"/>
            <w:tcMar>
              <w:top w:w="130" w:type="dxa"/>
              <w:start w:w="120" w:type="dxa"/>
              <w:bottom w:w="130" w:type="dxa"/>
              <w:end w:w="120" w:type="dxa"/>
            </w:tcMar>
          </w:tcPr>
          <w:p>
            <w:r>
              <w:t>Date / 日期: __________________________</w:t>
            </w:r>
          </w:p>
        </w:tc>
        <w:tc>
          <w:tcPr>
            <w:tcW w:type="dxa" w:w="4933"/>
            <w:tcMar>
              <w:top w:w="130" w:type="dxa"/>
              <w:start w:w="120" w:type="dxa"/>
              <w:bottom w:w="130" w:type="dxa"/>
              <w:end w:w="120" w:type="dxa"/>
            </w:tcMar>
          </w:tcPr>
          <w:p>
            <w:r>
              <w:t>Date / 日期: __________________________</w:t>
            </w:r>
          </w:p>
        </w:tc>
      </w:tr>
    </w:tbl>
    <w:sectPr w:rsidR="00FC693F" w:rsidRPr="0006063C" w:rsidSect="00034616">
      <w:headerReference w:type="default" r:id="rId9"/>
      <w:footerReference w:type="default" r:id="rId10"/>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EC5E0A"/>
        <w:sz w:val="16"/>
      </w:rPr>
      <w:t>GT EDUCATIONAL INSTITUTE  |  FULL CARE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Arial" w:hAnsi="Arial" w:eastAsia="PingFang SC"/>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PingFang SC"/>
      <w:b/>
      <w:bCs/>
      <w:color w:val="23634F"/>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PingFang SC"/>
      <w:b/>
      <w:bCs/>
      <w:color w:val="EC5E0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eastAsia="PingFang SC"/>
      <w:b/>
      <w:color w:val="2363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