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1FD4" w14:textId="227FFE11" w:rsidR="00E54932" w:rsidRDefault="00E95E34">
      <w:proofErr w:type="spellStart"/>
      <w:r>
        <w:t>Intepretations</w:t>
      </w:r>
      <w:proofErr w:type="spellEnd"/>
      <w:r>
        <w:t xml:space="preserve"> for Question 1</w:t>
      </w:r>
      <w:r w:rsidR="006454AC">
        <w:t>9</w:t>
      </w:r>
    </w:p>
    <w:p w14:paraId="4E63B76B" w14:textId="77777777" w:rsidR="006454AC" w:rsidRDefault="006454AC"/>
    <w:p w14:paraId="7BCB0C87" w14:textId="77777777" w:rsidR="006454AC" w:rsidRDefault="006454AC" w:rsidP="006454AC">
      <w:r>
        <w:t>Question 19</w:t>
      </w:r>
    </w:p>
    <w:p w14:paraId="714793AC" w14:textId="14EBAC92" w:rsidR="006454AC" w:rsidRDefault="006454AC" w:rsidP="006454AC">
      <w:r>
        <w:t>in relation to the Gujarati book (basic econometrics), answer question 22.25 pp 800: Table 22.7 gives data on three-month (TB3M) and six-month (TB6M) Treasury bill rates from January 1, 1982, to March 2008, for a total of 315 monthly observations.</w:t>
      </w:r>
    </w:p>
    <w:p w14:paraId="2BA8D54F" w14:textId="5CC5A389" w:rsidR="006454AC" w:rsidRDefault="006454AC" w:rsidP="006454AC">
      <w:r>
        <w:t>The data can be found on the textbook's website.</w:t>
      </w:r>
    </w:p>
    <w:p w14:paraId="7346611B" w14:textId="1E014775" w:rsidR="006454AC" w:rsidRDefault="006454AC" w:rsidP="006454AC">
      <w:r>
        <w:t>a</w:t>
      </w:r>
      <w:r>
        <w:t xml:space="preserve">. Plot the </w:t>
      </w:r>
      <w:proofErr w:type="gramStart"/>
      <w:r>
        <w:t>two time</w:t>
      </w:r>
      <w:proofErr w:type="gramEnd"/>
      <w:r>
        <w:t xml:space="preserve"> series in the same diagram. What do you see?</w:t>
      </w:r>
    </w:p>
    <w:p w14:paraId="4E0E3376" w14:textId="5CED417B" w:rsidR="006454AC" w:rsidRDefault="006454AC" w:rsidP="006454AC">
      <w:r>
        <w:t>b. Do a formal unit root analysis to find out if these time series are stationary.</w:t>
      </w:r>
    </w:p>
    <w:p w14:paraId="4F816152" w14:textId="25B335A2" w:rsidR="006454AC" w:rsidRDefault="006454AC" w:rsidP="006454AC">
      <w:r>
        <w:t xml:space="preserve">c. Are the </w:t>
      </w:r>
      <w:proofErr w:type="gramStart"/>
      <w:r>
        <w:t>two time</w:t>
      </w:r>
      <w:proofErr w:type="gramEnd"/>
      <w:r>
        <w:t xml:space="preserve"> series cointegrated? How do you know? Show the necessary calculations.</w:t>
      </w:r>
    </w:p>
    <w:p w14:paraId="749A3E20" w14:textId="317F705D" w:rsidR="006454AC" w:rsidRDefault="006454AC" w:rsidP="006454AC">
      <w:r>
        <w:t>d. What is the economic meaning of cointegration in the present context? If the two series are not cointegrated, what are the economic implications? and. If you want to estimate a VAR model, say, with four lags of each variable, do you have to use the first differences of the two series or can you do the analysis in levels of the two series? Justify your answer.</w:t>
      </w:r>
    </w:p>
    <w:p w14:paraId="5D881B15" w14:textId="77777777" w:rsidR="00E95E34" w:rsidRDefault="00E95E34"/>
    <w:p w14:paraId="70661FF6" w14:textId="77777777" w:rsidR="00C90C85" w:rsidRPr="00C90C85" w:rsidRDefault="00C90C85" w:rsidP="00C90C85">
      <w:pPr>
        <w:rPr>
          <w:b/>
          <w:bCs/>
        </w:rPr>
      </w:pPr>
      <w:r w:rsidRPr="00C90C85">
        <w:rPr>
          <w:b/>
          <w:bCs/>
        </w:rPr>
        <w:t>Rate 3</w:t>
      </w:r>
    </w:p>
    <w:p w14:paraId="27E8E0C1" w14:textId="1927E742" w:rsidR="00C90C85" w:rsidRDefault="00C90C85" w:rsidP="00C90C85">
      <w:r>
        <w:t>Since the ADF statistic (-1.5392) is greater (less negative) than all critical values and the p-value (0.5140) is well above 0.05, we fail to reject the null hypothesis.</w:t>
      </w:r>
    </w:p>
    <w:p w14:paraId="0E838272" w14:textId="6B391363" w:rsidR="00C90C85" w:rsidRDefault="00C90C85" w:rsidP="00C90C85">
      <w:r>
        <w:t>The rate3 series has a unit root, it is non-stationary.</w:t>
      </w:r>
    </w:p>
    <w:p w14:paraId="5E1EF1A4" w14:textId="3D22C08E" w:rsidR="00C90C85" w:rsidRDefault="00C90C85" w:rsidP="00C90C85">
      <w:r>
        <w:t>The KPSS statistic (1.4540) exceeds even the 1% critical value (0.739), so we reject the null hypothesis of stationarity.</w:t>
      </w:r>
    </w:p>
    <w:p w14:paraId="642908BA" w14:textId="77777777" w:rsidR="00C90C85" w:rsidRDefault="00C90C85" w:rsidP="00C90C85">
      <w:r>
        <w:t xml:space="preserve">Both </w:t>
      </w:r>
      <w:r w:rsidRPr="00C90C85">
        <w:rPr>
          <w:b/>
          <w:bCs/>
        </w:rPr>
        <w:t>ADF and KPSS tests indicate non-stationarity.</w:t>
      </w:r>
      <w:r>
        <w:t xml:space="preserve"> Therefore, rate3 likely needs to be </w:t>
      </w:r>
      <w:proofErr w:type="gramStart"/>
      <w:r>
        <w:t>differenced</w:t>
      </w:r>
      <w:proofErr w:type="gramEnd"/>
      <w:r>
        <w:t xml:space="preserve"> once (d=1) before modeling with ARIMA or similar approaches.</w:t>
      </w:r>
    </w:p>
    <w:p w14:paraId="1540B3D8" w14:textId="77777777" w:rsidR="00C90C85" w:rsidRDefault="00C90C85" w:rsidP="00C90C85"/>
    <w:p w14:paraId="6E402B00" w14:textId="77777777" w:rsidR="00C90C85" w:rsidRPr="00C90C85" w:rsidRDefault="00C90C85" w:rsidP="00C90C85">
      <w:pPr>
        <w:rPr>
          <w:b/>
          <w:bCs/>
        </w:rPr>
      </w:pPr>
      <w:r w:rsidRPr="00C90C85">
        <w:rPr>
          <w:b/>
          <w:bCs/>
        </w:rPr>
        <w:t>Rate 6</w:t>
      </w:r>
    </w:p>
    <w:p w14:paraId="5F6A7C9B" w14:textId="0B67B9A4" w:rsidR="00C90C85" w:rsidRDefault="00C90C85" w:rsidP="00C90C85">
      <w:r>
        <w:t xml:space="preserve">The ADF statistic (-3.7738) is less than all critical values, and the p-value (0.0032) is well below 0.05, so we reject the null hypothesis of </w:t>
      </w:r>
      <w:proofErr w:type="gramStart"/>
      <w:r>
        <w:t>a unit</w:t>
      </w:r>
      <w:proofErr w:type="gramEnd"/>
      <w:r>
        <w:t xml:space="preserve"> root.</w:t>
      </w:r>
    </w:p>
    <w:p w14:paraId="5FA33416" w14:textId="36438DBE" w:rsidR="00C90C85" w:rsidRDefault="00C90C85" w:rsidP="00C90C85">
      <w:r>
        <w:lastRenderedPageBreak/>
        <w:t>The KPSS statistic (1.4961) again exceeds the 1% critical value, so we reject the null hypothesis of stationarity.</w:t>
      </w:r>
    </w:p>
    <w:p w14:paraId="57FE7273" w14:textId="131211B4" w:rsidR="00E95E34" w:rsidRDefault="00C90C85" w:rsidP="00C90C85">
      <w:r w:rsidRPr="00C90C85">
        <w:rPr>
          <w:b/>
          <w:bCs/>
        </w:rPr>
        <w:t xml:space="preserve">The ADF test indicates stationarity, while the KPSS test suggests non-stationarity. </w:t>
      </w:r>
      <w:r>
        <w:t>This mixed result may occur if the series is near the boundary of stationarity</w:t>
      </w:r>
    </w:p>
    <w:p w14:paraId="40C1BC7F" w14:textId="77777777" w:rsidR="00E95E34" w:rsidRDefault="00E95E34" w:rsidP="00E95E34"/>
    <w:p w14:paraId="4FC107BF" w14:textId="2EB58A35" w:rsidR="00E95E34" w:rsidRDefault="00E95E34" w:rsidP="00E95E34">
      <w:pPr>
        <w:pStyle w:val="Heading1"/>
        <w:shd w:val="clear" w:color="auto" w:fill="FFFFFF"/>
        <w:spacing w:before="261" w:after="348"/>
        <w:rPr>
          <w:rFonts w:ascii="Segoe UI" w:hAnsi="Segoe UI" w:cs="Segoe UI"/>
          <w:sz w:val="44"/>
          <w:szCs w:val="44"/>
        </w:rPr>
      </w:pPr>
      <w:r>
        <w:rPr>
          <w:rFonts w:ascii="Segoe UI" w:hAnsi="Segoe UI" w:cs="Segoe UI"/>
          <w:b/>
          <w:bCs/>
          <w:sz w:val="44"/>
          <w:szCs w:val="44"/>
        </w:rPr>
        <w:t>Interpretation</w:t>
      </w:r>
      <w:r w:rsidR="007324DF">
        <w:rPr>
          <w:rFonts w:ascii="Segoe UI" w:hAnsi="Segoe UI" w:cs="Segoe UI"/>
          <w:b/>
          <w:bCs/>
          <w:sz w:val="44"/>
          <w:szCs w:val="44"/>
        </w:rPr>
        <w:t xml:space="preserve"> Cointegration</w:t>
      </w:r>
    </w:p>
    <w:p w14:paraId="255AB4A7" w14:textId="2030C474" w:rsidR="00E95E34" w:rsidRDefault="007324DF" w:rsidP="00E95E34">
      <w:pPr>
        <w:pStyle w:val="NormalWeb"/>
        <w:shd w:val="clear" w:color="auto" w:fill="FFFFFF"/>
        <w:spacing w:before="0" w:beforeAutospacing="0" w:after="120" w:afterAutospacing="0"/>
        <w:rPr>
          <w:rFonts w:ascii="Segoe UI" w:hAnsi="Segoe UI" w:cs="Segoe UI"/>
          <w:sz w:val="21"/>
          <w:szCs w:val="21"/>
        </w:rPr>
      </w:pPr>
      <w:r w:rsidRPr="007324DF">
        <w:rPr>
          <w:rFonts w:ascii="Segoe UI" w:hAnsi="Segoe UI" w:cs="Segoe UI"/>
          <w:sz w:val="21"/>
          <w:szCs w:val="21"/>
        </w:rPr>
        <w:t>The Johansen cointegration test indicates that rate3 and rate6 share a long-run equilibrium relationship. Both the null hypotheses of no cointegration (r=0) and at most one cointegration (r≤1) are rejected at the 95% confidence level, as the corresponding trace statistics (52.36 and 15.02) exceed their critical values (15.49 and 3.84). This implies that although the individual series may be non-stationary, their joint dynamics are linked by at least one stationary linear combination. In practice, this means the two rates evolve together over time, maintaining a stable long-term relationship despite short-term fluctuations.</w:t>
      </w:r>
    </w:p>
    <w:p w14:paraId="5C77E668" w14:textId="77777777" w:rsidR="007324DF" w:rsidRDefault="007324DF" w:rsidP="007324DF">
      <w:pPr>
        <w:pStyle w:val="Heading1"/>
        <w:shd w:val="clear" w:color="auto" w:fill="FFFFFF"/>
        <w:spacing w:before="120" w:after="120"/>
        <w:rPr>
          <w:rFonts w:ascii="Arial" w:hAnsi="Arial" w:cs="Arial"/>
          <w:color w:val="1F1F1F"/>
          <w:sz w:val="39"/>
          <w:szCs w:val="39"/>
        </w:rPr>
      </w:pPr>
      <w:r>
        <w:rPr>
          <w:rFonts w:ascii="Arial" w:hAnsi="Arial" w:cs="Arial"/>
          <w:b/>
          <w:bCs/>
          <w:color w:val="1F1F1F"/>
          <w:sz w:val="39"/>
          <w:szCs w:val="39"/>
        </w:rPr>
        <w:t>Interpretation for Correlograms</w:t>
      </w:r>
    </w:p>
    <w:p w14:paraId="7ECF18BE" w14:textId="77777777" w:rsidR="007324DF" w:rsidRDefault="007324DF" w:rsidP="007324DF">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The correlogram confirms that rate3 is non-stationary, displaying persistent autocorrelation. After differencing, it would likely be modeled as an </w:t>
      </w:r>
      <w:proofErr w:type="gramStart"/>
      <w:r>
        <w:rPr>
          <w:rFonts w:ascii="Arial" w:hAnsi="Arial" w:cs="Arial"/>
          <w:color w:val="1F1F1F"/>
        </w:rPr>
        <w:t>ARIMA(</w:t>
      </w:r>
      <w:proofErr w:type="gramEnd"/>
      <w:r>
        <w:rPr>
          <w:rFonts w:ascii="Arial" w:hAnsi="Arial" w:cs="Arial"/>
          <w:color w:val="1F1F1F"/>
        </w:rPr>
        <w:t>1,1,0) process — one AR term and one differencing order.</w:t>
      </w:r>
    </w:p>
    <w:p w14:paraId="69F51F9E" w14:textId="77777777" w:rsidR="007324DF" w:rsidRDefault="007324DF" w:rsidP="007324DF">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The correlogram pattern of rate6 shows short-term dependence and weaker persistence, compatible with stationarity or near-stationarity. It can be represented with a low-order </w:t>
      </w:r>
      <w:proofErr w:type="gramStart"/>
      <w:r>
        <w:rPr>
          <w:rFonts w:ascii="Arial" w:hAnsi="Arial" w:cs="Arial"/>
          <w:color w:val="1F1F1F"/>
        </w:rPr>
        <w:t>AR(</w:t>
      </w:r>
      <w:proofErr w:type="gramEnd"/>
      <w:r>
        <w:rPr>
          <w:rFonts w:ascii="Arial" w:hAnsi="Arial" w:cs="Arial"/>
          <w:color w:val="1F1F1F"/>
        </w:rPr>
        <w:t xml:space="preserve">1) model without differencing, i.e., </w:t>
      </w:r>
      <w:proofErr w:type="gramStart"/>
      <w:r>
        <w:rPr>
          <w:rFonts w:ascii="Arial" w:hAnsi="Arial" w:cs="Arial"/>
          <w:color w:val="1F1F1F"/>
        </w:rPr>
        <w:t>ARIMA(</w:t>
      </w:r>
      <w:proofErr w:type="gramEnd"/>
      <w:r>
        <w:rPr>
          <w:rFonts w:ascii="Arial" w:hAnsi="Arial" w:cs="Arial"/>
          <w:color w:val="1F1F1F"/>
        </w:rPr>
        <w:t>1,0,0).</w:t>
      </w:r>
    </w:p>
    <w:p w14:paraId="7BCACE21" w14:textId="77777777" w:rsidR="007324DF" w:rsidRDefault="007324DF" w:rsidP="007324DF">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The correlograms for rate3 and rate6 show positive autocorrelation that declines gradually, with both PACFs cutting off sharply at lag 1. This indicates an autoregressive structure of low order. The persistence observed in rate3 aligns with its confirmed non-stationarity from the unit root tests, suggesting the need for first differencing before modeling, such as </w:t>
      </w:r>
      <w:proofErr w:type="gramStart"/>
      <w:r>
        <w:rPr>
          <w:rFonts w:ascii="Arial" w:hAnsi="Arial" w:cs="Arial"/>
          <w:color w:val="1F1F1F"/>
        </w:rPr>
        <w:t>ARIMA(</w:t>
      </w:r>
      <w:proofErr w:type="gramEnd"/>
      <w:r>
        <w:rPr>
          <w:rFonts w:ascii="Arial" w:hAnsi="Arial" w:cs="Arial"/>
          <w:color w:val="1F1F1F"/>
        </w:rPr>
        <w:t xml:space="preserve">1,1,0). In contrast, rate6 displays weaker autocorrelation and can be treated as stationary, consistent with an </w:t>
      </w:r>
      <w:proofErr w:type="gramStart"/>
      <w:r>
        <w:rPr>
          <w:rFonts w:ascii="Arial" w:hAnsi="Arial" w:cs="Arial"/>
          <w:color w:val="1F1F1F"/>
        </w:rPr>
        <w:t>ARIMA(</w:t>
      </w:r>
      <w:proofErr w:type="gramEnd"/>
      <w:r>
        <w:rPr>
          <w:rFonts w:ascii="Arial" w:hAnsi="Arial" w:cs="Arial"/>
          <w:color w:val="1F1F1F"/>
        </w:rPr>
        <w:t>1,0,0) specification. Together with the Johansen test results, the analysis supports that both rates move jointly in the long run but may differ in their short-run dynamics.</w:t>
      </w:r>
    </w:p>
    <w:p w14:paraId="35071491"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p>
    <w:p w14:paraId="4EF0575B" w14:textId="77777777" w:rsidR="00E95E34" w:rsidRDefault="00E95E34" w:rsidP="00E95E34">
      <w:pPr>
        <w:pStyle w:val="Heading1"/>
        <w:shd w:val="clear" w:color="auto" w:fill="FFFFFF"/>
        <w:spacing w:before="261" w:after="348"/>
        <w:rPr>
          <w:rFonts w:ascii="Segoe UI" w:hAnsi="Segoe UI" w:cs="Segoe UI"/>
          <w:sz w:val="44"/>
          <w:szCs w:val="44"/>
        </w:rPr>
      </w:pPr>
      <w:r>
        <w:rPr>
          <w:rFonts w:ascii="Segoe UI" w:hAnsi="Segoe UI" w:cs="Segoe UI"/>
          <w:b/>
          <w:bCs/>
          <w:sz w:val="44"/>
          <w:szCs w:val="44"/>
        </w:rPr>
        <w:t>Final Conclusions and Recommendations</w:t>
      </w:r>
    </w:p>
    <w:p w14:paraId="3ED15603" w14:textId="77777777" w:rsidR="00E45699" w:rsidRPr="00E45699" w:rsidRDefault="00E45699" w:rsidP="00E45699">
      <w:pPr>
        <w:pStyle w:val="NormalWeb"/>
        <w:shd w:val="clear" w:color="auto" w:fill="FFFFFF"/>
        <w:spacing w:after="120"/>
        <w:rPr>
          <w:rFonts w:ascii="Segoe UI" w:hAnsi="Segoe UI" w:cs="Segoe UI"/>
          <w:sz w:val="21"/>
          <w:szCs w:val="21"/>
        </w:rPr>
      </w:pPr>
      <w:r w:rsidRPr="00E45699">
        <w:rPr>
          <w:rFonts w:ascii="Segoe UI" w:hAnsi="Segoe UI" w:cs="Segoe UI"/>
          <w:sz w:val="21"/>
          <w:szCs w:val="21"/>
        </w:rPr>
        <w:t>A) When plotting the 3-month (TB3M) and 6-month (TB6M) Treasury bill rates from 1982 to 2008, both series display nearly identical movements. They follow the same business cycles, rising and falling together with a small, mean-reverting spread. This visual pattern suggests a strong long-run relationship between the two maturities, consistent with the term structure of interest rates.</w:t>
      </w:r>
    </w:p>
    <w:p w14:paraId="7FDD8D53" w14:textId="77777777" w:rsidR="00E45699" w:rsidRPr="00E45699" w:rsidRDefault="00E45699" w:rsidP="00E45699">
      <w:pPr>
        <w:pStyle w:val="NormalWeb"/>
        <w:shd w:val="clear" w:color="auto" w:fill="FFFFFF"/>
        <w:spacing w:after="120"/>
        <w:rPr>
          <w:rFonts w:ascii="Segoe UI" w:hAnsi="Segoe UI" w:cs="Segoe UI"/>
          <w:sz w:val="21"/>
          <w:szCs w:val="21"/>
        </w:rPr>
      </w:pPr>
    </w:p>
    <w:p w14:paraId="60B79464" w14:textId="3F329CF0" w:rsidR="00E45699" w:rsidRPr="00E45699" w:rsidRDefault="00E45699" w:rsidP="00E45699">
      <w:pPr>
        <w:pStyle w:val="NormalWeb"/>
        <w:shd w:val="clear" w:color="auto" w:fill="FFFFFF"/>
        <w:spacing w:after="120"/>
        <w:rPr>
          <w:rFonts w:ascii="Segoe UI" w:hAnsi="Segoe UI" w:cs="Segoe UI"/>
          <w:sz w:val="21"/>
          <w:szCs w:val="21"/>
        </w:rPr>
      </w:pPr>
      <w:r w:rsidRPr="00E45699">
        <w:rPr>
          <w:rFonts w:ascii="Segoe UI" w:hAnsi="Segoe UI" w:cs="Segoe UI"/>
          <w:sz w:val="21"/>
          <w:szCs w:val="21"/>
        </w:rPr>
        <w:t xml:space="preserve">B) Formal unit-root testing shows that both series are integrated of order one, </w:t>
      </w:r>
      <w:proofErr w:type="gramStart"/>
      <w:r w:rsidRPr="00E45699">
        <w:rPr>
          <w:rFonts w:ascii="Segoe UI" w:hAnsi="Segoe UI" w:cs="Segoe UI"/>
          <w:sz w:val="21"/>
          <w:szCs w:val="21"/>
        </w:rPr>
        <w:t>I(</w:t>
      </w:r>
      <w:proofErr w:type="gramEnd"/>
      <w:r w:rsidRPr="00E45699">
        <w:rPr>
          <w:rFonts w:ascii="Segoe UI" w:hAnsi="Segoe UI" w:cs="Segoe UI"/>
          <w:sz w:val="21"/>
          <w:szCs w:val="21"/>
        </w:rPr>
        <w:t>1).</w:t>
      </w:r>
    </w:p>
    <w:p w14:paraId="7C831C76" w14:textId="739C5915" w:rsidR="00E45699" w:rsidRPr="00E45699" w:rsidRDefault="00E45699" w:rsidP="00E45699">
      <w:pPr>
        <w:pStyle w:val="NormalWeb"/>
        <w:shd w:val="clear" w:color="auto" w:fill="FFFFFF"/>
        <w:spacing w:after="120"/>
        <w:rPr>
          <w:rFonts w:ascii="Segoe UI" w:hAnsi="Segoe UI" w:cs="Segoe UI"/>
          <w:sz w:val="21"/>
          <w:szCs w:val="21"/>
        </w:rPr>
      </w:pPr>
      <w:r w:rsidRPr="00E45699">
        <w:rPr>
          <w:rFonts w:ascii="Segoe UI" w:hAnsi="Segoe UI" w:cs="Segoe UI"/>
          <w:sz w:val="21"/>
          <w:szCs w:val="21"/>
        </w:rPr>
        <w:t>For TB3M, the ADF test fails to reject the null of a unit root while the KPSS rejects stationarity → clearly non-stationary.</w:t>
      </w:r>
    </w:p>
    <w:p w14:paraId="7228BD2F" w14:textId="5C61FB65" w:rsidR="00E45699" w:rsidRPr="00E45699" w:rsidRDefault="00E45699" w:rsidP="00E45699">
      <w:pPr>
        <w:pStyle w:val="NormalWeb"/>
        <w:shd w:val="clear" w:color="auto" w:fill="FFFFFF"/>
        <w:spacing w:after="120"/>
        <w:rPr>
          <w:rFonts w:ascii="Segoe UI" w:hAnsi="Segoe UI" w:cs="Segoe UI"/>
          <w:sz w:val="21"/>
          <w:szCs w:val="21"/>
        </w:rPr>
      </w:pPr>
      <w:r w:rsidRPr="00E45699">
        <w:rPr>
          <w:rFonts w:ascii="Segoe UI" w:hAnsi="Segoe UI" w:cs="Segoe UI"/>
          <w:sz w:val="21"/>
          <w:szCs w:val="21"/>
        </w:rPr>
        <w:t xml:space="preserve">For TB6M, results are mixed, but the first-differenced series is stationary. Hence, both series are treated as </w:t>
      </w:r>
      <w:proofErr w:type="gramStart"/>
      <w:r w:rsidRPr="00E45699">
        <w:rPr>
          <w:rFonts w:ascii="Segoe UI" w:hAnsi="Segoe UI" w:cs="Segoe UI"/>
          <w:sz w:val="21"/>
          <w:szCs w:val="21"/>
        </w:rPr>
        <w:t>I(</w:t>
      </w:r>
      <w:proofErr w:type="gramEnd"/>
      <w:r w:rsidRPr="00E45699">
        <w:rPr>
          <w:rFonts w:ascii="Segoe UI" w:hAnsi="Segoe UI" w:cs="Segoe UI"/>
          <w:sz w:val="21"/>
          <w:szCs w:val="21"/>
        </w:rPr>
        <w:t>1), meaning their levels are persistent but their first differences are stationary.</w:t>
      </w:r>
    </w:p>
    <w:p w14:paraId="23617B4C" w14:textId="6F1FD828" w:rsidR="00E45699" w:rsidRPr="00E45699" w:rsidRDefault="00E45699" w:rsidP="00E45699">
      <w:pPr>
        <w:pStyle w:val="NormalWeb"/>
        <w:shd w:val="clear" w:color="auto" w:fill="FFFFFF"/>
        <w:spacing w:after="120"/>
        <w:rPr>
          <w:rFonts w:ascii="Segoe UI" w:hAnsi="Segoe UI" w:cs="Segoe UI"/>
          <w:sz w:val="21"/>
          <w:szCs w:val="21"/>
        </w:rPr>
      </w:pPr>
      <w:r w:rsidRPr="00E45699">
        <w:rPr>
          <w:rFonts w:ascii="Segoe UI" w:hAnsi="Segoe UI" w:cs="Segoe UI"/>
          <w:sz w:val="21"/>
          <w:szCs w:val="21"/>
        </w:rPr>
        <w:t>c) The Johansen cointegration test rejects the null hypotheses of r = 0 and r ≤ 1 at the 95% confidence level, indicating at least one cointegrating relationship between TB3M and TB6M. Although each rate is non-stationary on its own, a linear combination—the spread—is stationary. Thus, the two interest-rate series share a stable long-run equilibrium relationship.</w:t>
      </w:r>
    </w:p>
    <w:p w14:paraId="0EDFFA23" w14:textId="5F0338ED" w:rsidR="00E45699" w:rsidRPr="00E45699" w:rsidRDefault="00E45699" w:rsidP="00E45699">
      <w:pPr>
        <w:pStyle w:val="NormalWeb"/>
        <w:shd w:val="clear" w:color="auto" w:fill="FFFFFF"/>
        <w:spacing w:after="120"/>
        <w:rPr>
          <w:rFonts w:ascii="Segoe UI" w:hAnsi="Segoe UI" w:cs="Segoe UI"/>
          <w:sz w:val="21"/>
          <w:szCs w:val="21"/>
        </w:rPr>
      </w:pPr>
      <w:r w:rsidRPr="00E45699">
        <w:rPr>
          <w:rFonts w:ascii="Segoe UI" w:hAnsi="Segoe UI" w:cs="Segoe UI"/>
          <w:sz w:val="21"/>
          <w:szCs w:val="21"/>
        </w:rPr>
        <w:t>d) Economically, cointegration implies that short-term and medium-term Treasury rates are linked through expectations and arbitrage: when the spread deviates from equilibrium, market forces drive it back. If the series were not cointegrated, their relationship would drift without correction, meaning the term structure would be unstable and long-run forecasts using levels would be spurious.</w:t>
      </w:r>
    </w:p>
    <w:p w14:paraId="61908AE6" w14:textId="418BBE59" w:rsidR="00E95E34" w:rsidRDefault="00E45699" w:rsidP="00E45699">
      <w:pPr>
        <w:pStyle w:val="NormalWeb"/>
        <w:shd w:val="clear" w:color="auto" w:fill="FFFFFF"/>
        <w:spacing w:before="0" w:beforeAutospacing="0" w:after="120" w:afterAutospacing="0"/>
        <w:rPr>
          <w:rFonts w:ascii="Segoe UI" w:hAnsi="Segoe UI" w:cs="Segoe UI"/>
          <w:sz w:val="21"/>
          <w:szCs w:val="21"/>
        </w:rPr>
      </w:pPr>
      <w:r w:rsidRPr="00E45699">
        <w:rPr>
          <w:rFonts w:ascii="Segoe UI" w:hAnsi="Segoe UI" w:cs="Segoe UI"/>
          <w:sz w:val="21"/>
          <w:szCs w:val="21"/>
        </w:rPr>
        <w:t xml:space="preserve">The 3-month and 6-month Treasury bill rates are </w:t>
      </w:r>
      <w:proofErr w:type="gramStart"/>
      <w:r w:rsidRPr="00E45699">
        <w:rPr>
          <w:rFonts w:ascii="Segoe UI" w:hAnsi="Segoe UI" w:cs="Segoe UI"/>
          <w:sz w:val="21"/>
          <w:szCs w:val="21"/>
        </w:rPr>
        <w:t>I(</w:t>
      </w:r>
      <w:proofErr w:type="gramEnd"/>
      <w:r w:rsidRPr="00E45699">
        <w:rPr>
          <w:rFonts w:ascii="Segoe UI" w:hAnsi="Segoe UI" w:cs="Segoe UI"/>
          <w:sz w:val="21"/>
          <w:szCs w:val="21"/>
        </w:rPr>
        <w:t>1) but cointegrated, confirming a stable long-run relationship along the yield curve. Although short-term fluctuations occur, the two maturities move together over time, maintaining a consistent equilibrium spread. Consequently, a VECM framework is required to jointly model their short-run dynamics and long-run interdependence.</w:t>
      </w:r>
    </w:p>
    <w:p w14:paraId="7DB31BB8" w14:textId="1207B638" w:rsidR="009202AA" w:rsidRDefault="009202AA" w:rsidP="00E45699">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Links: </w:t>
      </w:r>
    </w:p>
    <w:p w14:paraId="6816E98C" w14:textId="6B1BEF47" w:rsidR="00D53FFB" w:rsidRDefault="00D53FFB" w:rsidP="00E45699">
      <w:pPr>
        <w:pStyle w:val="NormalWeb"/>
        <w:shd w:val="clear" w:color="auto" w:fill="FFFFFF"/>
        <w:spacing w:before="0" w:beforeAutospacing="0" w:after="120" w:afterAutospacing="0"/>
        <w:rPr>
          <w:rFonts w:ascii="Segoe UI" w:hAnsi="Segoe UI" w:cs="Segoe UI"/>
          <w:sz w:val="21"/>
          <w:szCs w:val="21"/>
          <w:lang w:val="pt-BR"/>
        </w:rPr>
      </w:pPr>
      <w:r w:rsidRPr="00D53FFB">
        <w:rPr>
          <w:rFonts w:ascii="Segoe UI" w:hAnsi="Segoe UI" w:cs="Segoe UI"/>
          <w:sz w:val="21"/>
          <w:szCs w:val="21"/>
          <w:lang w:val="pt-BR"/>
        </w:rPr>
        <w:t xml:space="preserve">Colab </w:t>
      </w:r>
      <w:hyperlink r:id="rId4" w:history="1">
        <w:r w:rsidRPr="00146F6B">
          <w:rPr>
            <w:rStyle w:val="Hyperlink"/>
            <w:rFonts w:ascii="Segoe UI" w:hAnsi="Segoe UI" w:cs="Segoe UI"/>
            <w:sz w:val="21"/>
            <w:szCs w:val="21"/>
            <w:lang w:val="pt-BR"/>
          </w:rPr>
          <w:t>https://colab.research.google.com/drive/11_dd1HW8mOeyY0_Ybe6Udj6oql-1l0za?usp=sharing</w:t>
        </w:r>
      </w:hyperlink>
    </w:p>
    <w:p w14:paraId="361BF1BA" w14:textId="72C57EA3" w:rsidR="00D53FFB" w:rsidRDefault="00D53FFB" w:rsidP="00E45699">
      <w:pPr>
        <w:pStyle w:val="NormalWeb"/>
        <w:shd w:val="clear" w:color="auto" w:fill="FFFFFF"/>
        <w:spacing w:before="0" w:beforeAutospacing="0" w:after="120" w:afterAutospacing="0"/>
        <w:rPr>
          <w:rFonts w:ascii="Segoe UI" w:hAnsi="Segoe UI" w:cs="Segoe UI"/>
          <w:sz w:val="21"/>
          <w:szCs w:val="21"/>
        </w:rPr>
      </w:pPr>
      <w:proofErr w:type="spellStart"/>
      <w:r w:rsidRPr="007F725A">
        <w:rPr>
          <w:rFonts w:ascii="Segoe UI" w:hAnsi="Segoe UI" w:cs="Segoe UI"/>
          <w:sz w:val="21"/>
          <w:szCs w:val="21"/>
        </w:rPr>
        <w:t>Github</w:t>
      </w:r>
      <w:proofErr w:type="spellEnd"/>
      <w:r w:rsidRPr="007F725A">
        <w:rPr>
          <w:rFonts w:ascii="Segoe UI" w:hAnsi="Segoe UI" w:cs="Segoe UI"/>
          <w:sz w:val="21"/>
          <w:szCs w:val="21"/>
        </w:rPr>
        <w:t xml:space="preserve">: </w:t>
      </w:r>
      <w:hyperlink r:id="rId5" w:history="1">
        <w:r w:rsidR="007F725A" w:rsidRPr="00146F6B">
          <w:rPr>
            <w:rStyle w:val="Hyperlink"/>
            <w:rFonts w:ascii="Segoe UI" w:hAnsi="Segoe UI" w:cs="Segoe UI"/>
            <w:sz w:val="21"/>
            <w:szCs w:val="21"/>
          </w:rPr>
          <w:t>https://github.com/a01452056/Question-19</w:t>
        </w:r>
      </w:hyperlink>
    </w:p>
    <w:p w14:paraId="38D1976A" w14:textId="77777777" w:rsidR="007F725A" w:rsidRPr="007F725A" w:rsidRDefault="007F725A" w:rsidP="00E45699">
      <w:pPr>
        <w:pStyle w:val="NormalWeb"/>
        <w:shd w:val="clear" w:color="auto" w:fill="FFFFFF"/>
        <w:spacing w:before="0" w:beforeAutospacing="0" w:after="120" w:afterAutospacing="0"/>
        <w:rPr>
          <w:rFonts w:ascii="Segoe UI" w:hAnsi="Segoe UI" w:cs="Segoe UI"/>
          <w:sz w:val="21"/>
          <w:szCs w:val="21"/>
        </w:rPr>
      </w:pPr>
    </w:p>
    <w:p w14:paraId="64DDA5FE" w14:textId="77777777" w:rsidR="009202AA" w:rsidRPr="007F725A" w:rsidRDefault="009202AA" w:rsidP="00E45699">
      <w:pPr>
        <w:pStyle w:val="NormalWeb"/>
        <w:shd w:val="clear" w:color="auto" w:fill="FFFFFF"/>
        <w:spacing w:before="0" w:beforeAutospacing="0" w:after="120" w:afterAutospacing="0"/>
        <w:rPr>
          <w:rFonts w:ascii="Segoe UI" w:hAnsi="Segoe UI" w:cs="Segoe UI"/>
          <w:sz w:val="21"/>
          <w:szCs w:val="21"/>
        </w:rPr>
      </w:pPr>
    </w:p>
    <w:p w14:paraId="2CE2308C" w14:textId="77777777" w:rsidR="00E95E34" w:rsidRPr="007F725A" w:rsidRDefault="00E95E34" w:rsidP="00E95E34">
      <w:pPr>
        <w:pStyle w:val="NormalWeb"/>
        <w:shd w:val="clear" w:color="auto" w:fill="FFFFFF"/>
        <w:spacing w:before="0" w:beforeAutospacing="0" w:after="120" w:afterAutospacing="0"/>
        <w:rPr>
          <w:rFonts w:ascii="Segoe UI" w:hAnsi="Segoe UI" w:cs="Segoe UI"/>
          <w:sz w:val="21"/>
          <w:szCs w:val="21"/>
        </w:rPr>
      </w:pPr>
    </w:p>
    <w:p w14:paraId="527D9F5E" w14:textId="77777777" w:rsidR="00E95E34" w:rsidRPr="007F725A" w:rsidRDefault="00E95E34" w:rsidP="00E95E34"/>
    <w:sectPr w:rsidR="00E95E34" w:rsidRPr="007F7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34"/>
    <w:rsid w:val="00380CF3"/>
    <w:rsid w:val="005033E4"/>
    <w:rsid w:val="006454AC"/>
    <w:rsid w:val="007324DF"/>
    <w:rsid w:val="007F725A"/>
    <w:rsid w:val="009202AA"/>
    <w:rsid w:val="00C90C85"/>
    <w:rsid w:val="00D53FFB"/>
    <w:rsid w:val="00D562F9"/>
    <w:rsid w:val="00D67A9F"/>
    <w:rsid w:val="00E45699"/>
    <w:rsid w:val="00E54932"/>
    <w:rsid w:val="00E9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16BD"/>
  <w15:chartTrackingRefBased/>
  <w15:docId w15:val="{3F7BC965-99E0-45A8-8E44-17277382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E34"/>
    <w:rPr>
      <w:rFonts w:eastAsiaTheme="majorEastAsia" w:cstheme="majorBidi"/>
      <w:color w:val="272727" w:themeColor="text1" w:themeTint="D8"/>
    </w:rPr>
  </w:style>
  <w:style w:type="paragraph" w:styleId="Title">
    <w:name w:val="Title"/>
    <w:basedOn w:val="Normal"/>
    <w:next w:val="Normal"/>
    <w:link w:val="TitleChar"/>
    <w:uiPriority w:val="10"/>
    <w:qFormat/>
    <w:rsid w:val="00E95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E34"/>
    <w:pPr>
      <w:spacing w:before="160"/>
      <w:jc w:val="center"/>
    </w:pPr>
    <w:rPr>
      <w:i/>
      <w:iCs/>
      <w:color w:val="404040" w:themeColor="text1" w:themeTint="BF"/>
    </w:rPr>
  </w:style>
  <w:style w:type="character" w:customStyle="1" w:styleId="QuoteChar">
    <w:name w:val="Quote Char"/>
    <w:basedOn w:val="DefaultParagraphFont"/>
    <w:link w:val="Quote"/>
    <w:uiPriority w:val="29"/>
    <w:rsid w:val="00E95E34"/>
    <w:rPr>
      <w:i/>
      <w:iCs/>
      <w:color w:val="404040" w:themeColor="text1" w:themeTint="BF"/>
    </w:rPr>
  </w:style>
  <w:style w:type="paragraph" w:styleId="ListParagraph">
    <w:name w:val="List Paragraph"/>
    <w:basedOn w:val="Normal"/>
    <w:uiPriority w:val="34"/>
    <w:qFormat/>
    <w:rsid w:val="00E95E34"/>
    <w:pPr>
      <w:ind w:left="720"/>
      <w:contextualSpacing/>
    </w:pPr>
  </w:style>
  <w:style w:type="character" w:styleId="IntenseEmphasis">
    <w:name w:val="Intense Emphasis"/>
    <w:basedOn w:val="DefaultParagraphFont"/>
    <w:uiPriority w:val="21"/>
    <w:qFormat/>
    <w:rsid w:val="00E95E34"/>
    <w:rPr>
      <w:i/>
      <w:iCs/>
      <w:color w:val="0F4761" w:themeColor="accent1" w:themeShade="BF"/>
    </w:rPr>
  </w:style>
  <w:style w:type="paragraph" w:styleId="IntenseQuote">
    <w:name w:val="Intense Quote"/>
    <w:basedOn w:val="Normal"/>
    <w:next w:val="Normal"/>
    <w:link w:val="IntenseQuoteChar"/>
    <w:uiPriority w:val="30"/>
    <w:qFormat/>
    <w:rsid w:val="00E95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E34"/>
    <w:rPr>
      <w:i/>
      <w:iCs/>
      <w:color w:val="0F4761" w:themeColor="accent1" w:themeShade="BF"/>
    </w:rPr>
  </w:style>
  <w:style w:type="character" w:styleId="IntenseReference">
    <w:name w:val="Intense Reference"/>
    <w:basedOn w:val="DefaultParagraphFont"/>
    <w:uiPriority w:val="32"/>
    <w:qFormat/>
    <w:rsid w:val="00E95E34"/>
    <w:rPr>
      <w:b/>
      <w:bCs/>
      <w:smallCaps/>
      <w:color w:val="0F4761" w:themeColor="accent1" w:themeShade="BF"/>
      <w:spacing w:val="5"/>
    </w:rPr>
  </w:style>
  <w:style w:type="paragraph" w:styleId="NormalWeb">
    <w:name w:val="Normal (Web)"/>
    <w:basedOn w:val="Normal"/>
    <w:uiPriority w:val="99"/>
    <w:semiHidden/>
    <w:unhideWhenUsed/>
    <w:rsid w:val="00E95E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53FFB"/>
    <w:rPr>
      <w:color w:val="467886" w:themeColor="hyperlink"/>
      <w:u w:val="single"/>
    </w:rPr>
  </w:style>
  <w:style w:type="character" w:styleId="UnresolvedMention">
    <w:name w:val="Unresolved Mention"/>
    <w:basedOn w:val="DefaultParagraphFont"/>
    <w:uiPriority w:val="99"/>
    <w:semiHidden/>
    <w:unhideWhenUsed/>
    <w:rsid w:val="00D53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a01452056/Question-19" TargetMode="External"/><Relationship Id="rId4" Type="http://schemas.openxmlformats.org/officeDocument/2006/relationships/hyperlink" Target="https://colab.research.google.com/drive/11_dd1HW8mOeyY0_Ybe6Udj6oql-1l0za?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949</Words>
  <Characters>5033</Characters>
  <Application>Microsoft Office Word</Application>
  <DocSecurity>0</DocSecurity>
  <Lines>107</Lines>
  <Paragraphs>47</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Vargas De Leon</dc:creator>
  <cp:keywords/>
  <dc:description/>
  <cp:lastModifiedBy>Francisco Javier Vargas De Leon</cp:lastModifiedBy>
  <cp:revision>9</cp:revision>
  <dcterms:created xsi:type="dcterms:W3CDTF">2025-11-03T04:47:00Z</dcterms:created>
  <dcterms:modified xsi:type="dcterms:W3CDTF">2025-11-03T04:52:00Z</dcterms:modified>
</cp:coreProperties>
</file>