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6.685420172713"/>
        <w:gridCol w:w="4749.77532644613"/>
        <w:gridCol w:w="1469.051064404781"/>
        <w:tblGridChange w:id="0">
          <w:tblGrid>
            <w:gridCol w:w="2806.685420172713"/>
            <w:gridCol w:w="4749.77532644613"/>
            <w:gridCol w:w="1469.051064404781"/>
          </w:tblGrid>
        </w:tblGridChange>
      </w:tblGrid>
      <w:tr>
        <w:trPr>
          <w:cantSplit w:val="0"/>
          <w:trHeight w:val="829.74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entero que identifica el alojamiento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con el nombre del alojamiento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Identificación de anfitrión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entero grande que identifica al anfitrión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Perfil del anfitrión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con el nombre o información del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Grupo de vecindario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con el grupo o zona del vecindario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Vecindario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con el nombre del vecindario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que representa la coordenada de latitud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que representa la coordenada de longitud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cuarto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que indica el tipo de alojamiento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que representa el precio por noche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Mínimo de noches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entero que indica la cantidad mínima de noches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reseñas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entero que indica la cantidad total de reseñas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Última reseña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la reseña más reciente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Reseñas por 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que representa el promedio de reseñas por 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Recuento calculado de listados de 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entero que indica cuántos alojamientos tiene el anfitrión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365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verdadero o falso que indica si existe disponibilidad durante el año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reseñas últimos 12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entero con la cantidad de reseñas recibidas en los últimos 12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con el número o código de la licencia de alojamiento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