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Simulador de Despacho Económico para México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Entregable Semana 1 — Framing + Skeleton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 de Monterrey · Campus Santa Fe · Febrero 2025</w:t>
      </w:r>
    </w:p>
    <w:p>
      <w:pPr>
        <w:pStyle w:val="Heading1"/>
      </w:pPr>
      <w:r>
        <w:t xml:space="preserve">1. User Journey</w:t>
      </w:r>
    </w:p>
    <w:p>
      <w:pPr>
        <w:spacing w:after="80"/>
      </w:pPr>
      <w:r>
        <w:t xml:space="preserve">El usuario (estudiante, analista o profesor) interactúa con la aplicación web en el siguiente flujo: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Selecciona un sistema eléctrico (SIN, BCA o BCS) y un rango de fechas.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Visualiza la demanda horaria real descargada de CENACE.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Revisa la capacidad instalada por tecnología (caso base 2024 o proyección 2026).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Ejecuta el despacho económico óptimo (PyPSA + HiGHS) y visualiza generación por tecnología, curtailment, shedding y costo total.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Ajusta costos marginales con sliders y observa el impacto en despacho y precios marginales.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Selecciona uno de 5 escenarios predefinidos (fuel shock, renewables boom, outage, storage, VOLL) y compara resultados.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Consulta la sección de metodología para entender supuestos, limitaciones y fuentes.</w:t>
      </w:r>
    </w:p>
    <w:p>
      <w:pPr>
        <w:pStyle w:val="Heading1"/>
      </w:pPr>
      <w:r>
        <w:t xml:space="preserve">2. Supuestos Clave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Supuesto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Sistemas aislados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SIN, BCA y BCS se modelan como buses independientes sin interconexión ni red interna.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Resolución temporal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Horaria (1h), consistente con datos de demanda de CENACE.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Costos marginales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Rangos de referencia en USD/MWh (educativos, no costos reales por planta). Ver tabla del documento base.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Generadores agregados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Térmicas en 2–4 categorías: CCGT/Gas, Carbón, Fuel oil, Diésel/Peaker.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Hidro simplificado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Límite de potencia fijo + energy budget diario (sin embalse con SOC).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Batería simplificada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 + eficiencia + límites, sin degradación ni cycling cost complejo.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2,000–10,000 USD/MWh como penalización de load shedding.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Solver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PyPSA ≥ 0.26 + Linopy + HiGHS. Versión fijada en requirements.txt.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Not Doing Yet</w:t>
      </w:r>
    </w:p>
    <w:p>
      <w:pPr>
        <w:spacing w:after="80"/>
      </w:pPr>
      <w:r>
        <w:rPr>
          <w:sz w:val="20"/>
          <w:szCs w:val="20"/>
        </w:rPr>
        <w:t xml:space="preserve">Las siguientes funcionalidades están fuera del alcance actual y se implementarán en semanas posteriores: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Descarga real de datos CENACE con batching, caché y manejo de errores (Semana 2).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Capacidades instaladas por tecnología y caso 2026 con fuentes oficiales (Semana 3).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Modelo PyPSA funcional con invariantes de validación (Semana 4).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Precios marginales (shadow prices) e interpretación económica (Semana 5).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Sliders de sensibilidad de costos con comparación antes/después (Semana 6).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Perfiles VRE reales de Renewables.ninja y curtailment (Semana 7).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Modelo de batería con SOC y eficiencia (Semana 8).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5 escenarios predefinidos con narrativa y export de resultados (Semana 9).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Demo final, defensa oral y documentación integrada (Semana 10).</w:t>
      </w:r>
    </w:p>
    <w:p>
      <w:pPr>
        <w:spacing w:before="100"/>
      </w:pPr>
    </w:p>
    <w:p>
      <w:pPr>
        <w:spacing w:before="120"/>
        <w:jc w:val="center"/>
      </w:pPr>
      <w:r>
        <w:rPr>
          <w:i/>
          <w:iCs/>
          <w:color w:val="999999"/>
          <w:sz w:val="18"/>
          <w:szCs w:val="18"/>
        </w:rPr>
        <w:t xml:space="preserve">Este simulador es un proyecto académico y no pretende replicar el despacho real de CENACE.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2026-02-12T17:02:52.579Z</dcterms:created>
  <dcterms:modified xsi:type="dcterms:W3CDTF">2026-02-12T17:02:52.580Z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