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jc w:val="center"/>
      </w:pPr>
      <w:r>
        <w:rPr>
          <w:rFonts w:ascii="微軟正黑體" w:hAnsi="微軟正黑體" w:eastAsia="微軟正黑體"/>
          <w:b/>
          <w:sz w:val="30"/>
        </w:rPr>
        <w:t>《本文件使用說明》</w:t>
      </w:r>
    </w:p>
    <w:p>
      <w:pPr>
        <w:spacing w:after="160" w:line="300" w:lineRule="exact"/>
        <w:jc w:val="both"/>
      </w:pPr>
      <w:r>
        <w:rPr>
          <w:rFonts w:ascii="微軟正黑體" w:hAnsi="微軟正黑體" w:eastAsia="微軟正黑體"/>
          <w:sz w:val="22"/>
        </w:rPr>
        <w:t>本檔案為畢業專題論文之「全文架構大綱」，目的是先確立整體章節骨幹、各節預計涵蓋的技術內容、對應的程式模組與統計方法，以及圖表待補位置，供你確認方向後再逐章展開為正式全文。</w:t>
      </w:r>
    </w:p>
    <w:p>
      <w:pPr>
        <w:pStyle w:val="ListBullet"/>
        <w:spacing w:after="80"/>
      </w:pPr>
      <w:r>
        <w:rPr>
          <w:rFonts w:ascii="微軟正黑體" w:hAnsi="微軟正黑體" w:eastAsia="微軟正黑體"/>
          <w:sz w:val="22"/>
        </w:rPr>
        <w:t>橘底斜體文字為【圖表待補】標記，對應你程式執行後產生的實際檔案（如 Phase2_Loss_Curve.png），待你提供圖片後再插入對應位置。</w:t>
      </w:r>
    </w:p>
    <w:p>
      <w:pPr>
        <w:pStyle w:val="ListBullet"/>
        <w:spacing w:after="80"/>
      </w:pPr>
      <w:r>
        <w:rPr>
          <w:rFonts w:ascii="微軟正黑體" w:hAnsi="微軟正黑體" w:eastAsia="微軟正黑體"/>
          <w:sz w:val="22"/>
        </w:rPr>
        <w:t>灰色斜體文字為【撰寫提示／建議篇幅】，供你或我後續展開全文時參考，非正式論文內容。</w:t>
      </w:r>
    </w:p>
    <w:p>
      <w:pPr>
        <w:pStyle w:val="ListBullet"/>
        <w:spacing w:after="80"/>
      </w:pPr>
      <w:r>
        <w:rPr>
          <w:rFonts w:ascii="微軟正黑體" w:hAnsi="微軟正黑體" w:eastAsia="微軟正黑體"/>
          <w:sz w:val="22"/>
        </w:rPr>
        <w:t>所有章節標題已套用 Word 標題樣式（標題1/2/3），可在 Word 中按「參照→目錄→更新欄位」自動產生正確頁碼的目錄。</w:t>
      </w:r>
    </w:p>
    <w:p>
      <w:pPr>
        <w:pStyle w:val="ListBullet"/>
        <w:spacing w:after="80"/>
      </w:pPr>
      <w:r>
        <w:rPr>
          <w:rFonts w:ascii="微軟正黑體" w:hAnsi="微軟正黑體" w:eastAsia="微軟正黑體"/>
          <w:sz w:val="22"/>
        </w:rPr>
        <w:t>目前依你所述，專題進度在「特徵與模型消融實驗」階段，因此第三、四章（系統架構、統計驗證方法論）與第五章中之 P2-1～P2-4 消融結果，素材最完整，建議優先撰寫；第二章文獻回顧與參考文獻需要你後續補充正式引用來源。</w:t>
      </w:r>
    </w:p>
    <w:p>
      <w:pPr>
        <w:spacing w:after="200"/>
      </w:pPr>
      <w:r>
        <w:rPr>
          <w:rFonts w:ascii="微軟正黑體" w:hAnsi="微軟正黑體" w:eastAsia="微軟正黑體"/>
          <w:i/>
          <w:color w:val="946000"/>
          <w:sz w:val="20"/>
        </w:rPr>
        <w:t>下一步建議：確認本大綱章節與比重是否符合你的系上規範／指導教授要求，並回覆你在前次對話中提到的參考影片之章節安排重點，我再據此微調，接著即可開始逐章撰寫正式全文（建議由第三、四章開始，因素材最齊全）。</w:t>
      </w:r>
    </w:p>
    <w:p>
      <w:r>
        <w:br w:type="page"/>
      </w:r>
    </w:p>
    <w:p>
      <w:pPr>
        <w:spacing w:after="1600"/>
        <w:jc w:val="center"/>
      </w:pPr>
      <w:r>
        <w:rPr>
          <w:rFonts w:ascii="微軟正黑體" w:hAnsi="微軟正黑體" w:eastAsia="微軟正黑體"/>
          <w:sz w:val="22"/>
        </w:rPr>
      </w:r>
    </w:p>
    <w:p>
      <w:pPr>
        <w:spacing w:after="120"/>
        <w:jc w:val="center"/>
      </w:pPr>
      <w:r>
        <w:rPr>
          <w:rFonts w:ascii="微軟正黑體" w:hAnsi="微軟正黑體" w:eastAsia="微軟正黑體"/>
          <w:sz w:val="30"/>
        </w:rPr>
        <w:t>國立　○○　大學</w:t>
      </w:r>
    </w:p>
    <w:p>
      <w:pPr>
        <w:spacing w:after="800"/>
        <w:jc w:val="center"/>
      </w:pPr>
      <w:r>
        <w:rPr>
          <w:rFonts w:ascii="微軟正黑體" w:hAnsi="微軟正黑體" w:eastAsia="微軟正黑體"/>
          <w:sz w:val="26"/>
        </w:rPr>
        <w:t>電機工程學系　學士專題論文</w:t>
      </w:r>
    </w:p>
    <w:p>
      <w:pPr>
        <w:spacing w:after="60"/>
        <w:jc w:val="center"/>
      </w:pPr>
      <w:r>
        <w:rPr>
          <w:rFonts w:ascii="微軟正黑體" w:hAnsi="微軟正黑體" w:eastAsia="微軟正黑體"/>
          <w:b/>
          <w:sz w:val="32"/>
        </w:rPr>
        <w:t>基於深度強化學習與機器學習之</w:t>
      </w:r>
    </w:p>
    <w:p>
      <w:pPr>
        <w:spacing w:after="60"/>
        <w:jc w:val="center"/>
      </w:pPr>
      <w:r>
        <w:rPr>
          <w:rFonts w:ascii="微軟正黑體" w:hAnsi="微軟正黑體" w:eastAsia="微軟正黑體"/>
          <w:b/>
          <w:sz w:val="32"/>
        </w:rPr>
        <w:t>多模組量化投資決策系統：</w:t>
      </w:r>
    </w:p>
    <w:p>
      <w:pPr>
        <w:spacing w:after="500"/>
        <w:jc w:val="center"/>
      </w:pPr>
      <w:r>
        <w:rPr>
          <w:rFonts w:ascii="微軟正黑體" w:hAnsi="微軟正黑體" w:eastAsia="微軟正黑體"/>
          <w:b/>
          <w:sz w:val="32"/>
        </w:rPr>
        <w:t>方法論建構與嚴謹統計驗證</w:t>
      </w:r>
    </w:p>
    <w:p>
      <w:pPr>
        <w:spacing w:after="40"/>
        <w:jc w:val="center"/>
      </w:pPr>
      <w:r>
        <w:rPr>
          <w:rFonts w:ascii="微軟正黑體" w:hAnsi="微軟正黑體" w:eastAsia="微軟正黑體"/>
          <w:sz w:val="22"/>
        </w:rPr>
        <w:t>A Multi-Module Quantitative Trading Decision System Based on</w:t>
      </w:r>
    </w:p>
    <w:p>
      <w:pPr>
        <w:spacing w:after="40"/>
        <w:jc w:val="center"/>
      </w:pPr>
      <w:r>
        <w:rPr>
          <w:rFonts w:ascii="微軟正黑體" w:hAnsi="微軟正黑體" w:eastAsia="微軟正黑體"/>
          <w:sz w:val="22"/>
        </w:rPr>
        <w:t>Deep Reinforcement Learning and Machine Learning:</w:t>
      </w:r>
    </w:p>
    <w:p>
      <w:pPr>
        <w:spacing w:after="900"/>
        <w:jc w:val="center"/>
      </w:pPr>
      <w:r>
        <w:rPr>
          <w:rFonts w:ascii="微軟正黑體" w:hAnsi="微軟正黑體" w:eastAsia="微軟正黑體"/>
          <w:sz w:val="22"/>
        </w:rPr>
        <w:t>Methodological Construction and Rigorous Statistical Validation</w:t>
      </w:r>
    </w:p>
    <w:p>
      <w:pPr>
        <w:spacing w:after="120"/>
        <w:jc w:val="center"/>
      </w:pPr>
      <w:r>
        <w:rPr>
          <w:rFonts w:ascii="微軟正黑體" w:hAnsi="微軟正黑體" w:eastAsia="微軟正黑體"/>
          <w:sz w:val="24"/>
        </w:rPr>
        <w:t>指導教授：○○○　博士</w:t>
      </w:r>
    </w:p>
    <w:p>
      <w:pPr>
        <w:spacing w:after="900"/>
        <w:jc w:val="center"/>
      </w:pPr>
      <w:r>
        <w:rPr>
          <w:rFonts w:ascii="微軟正黑體" w:hAnsi="微軟正黑體" w:eastAsia="微軟正黑體"/>
          <w:sz w:val="24"/>
        </w:rPr>
        <w:t>研究生：○○○</w:t>
      </w:r>
    </w:p>
    <w:p>
      <w:pPr>
        <w:spacing w:after="0"/>
        <w:jc w:val="center"/>
      </w:pPr>
      <w:r>
        <w:rPr>
          <w:rFonts w:ascii="微軟正黑體" w:hAnsi="微軟正黑體" w:eastAsia="微軟正黑體"/>
          <w:sz w:val="24"/>
        </w:rPr>
        <w:t>中華民國　○○○　年　○　月</w:t>
      </w:r>
    </w:p>
    <w:p>
      <w:r>
        <w:br w:type="page"/>
      </w:r>
    </w:p>
    <w:p>
      <w:pPr>
        <w:pStyle w:val="Heading1"/>
        <w:spacing w:before="480" w:after="240"/>
      </w:pPr>
      <w:r>
        <w:rPr>
          <w:rFonts w:ascii="微軟正黑體" w:hAnsi="微軟正黑體" w:eastAsia="微軟正黑體"/>
          <w:b/>
          <w:color w:val="1F3864"/>
          <w:sz w:val="32"/>
        </w:rPr>
        <w:t>摘要（撰寫要點，待全文定稿後完成）</w:t>
      </w:r>
    </w:p>
    <w:p>
      <w:pPr>
        <w:spacing w:after="160" w:line="300" w:lineRule="exact"/>
        <w:jc w:val="both"/>
      </w:pPr>
      <w:r>
        <w:rPr>
          <w:rFonts w:ascii="微軟正黑體" w:hAnsi="微軟正黑體" w:eastAsia="微軟正黑體"/>
          <w:sz w:val="22"/>
        </w:rPr>
        <w:t>摘要建議控制在 500 字以內，需誠實濃縮以下五個要素，避免使用「顯著獲利」「有效預測」等未經統計檢定支持的用語：</w:t>
      </w:r>
    </w:p>
    <w:p>
      <w:pPr>
        <w:pStyle w:val="ListBullet"/>
        <w:spacing w:after="80"/>
      </w:pPr>
      <w:r>
        <w:rPr>
          <w:rFonts w:ascii="微軟正黑體" w:hAnsi="微軟正黑體" w:eastAsia="微軟正黑體"/>
          <w:sz w:val="22"/>
        </w:rPr>
        <w:t>研究背景：從 Spearman 秩相關係數與 Engle-Granger 兩步法協整檢定之傳統統計套利方法出發，說明其在捕捉非線性、跨體制市場結構上的侷限，作為研究問題意識的起點。</w:t>
      </w:r>
    </w:p>
    <w:p>
      <w:pPr>
        <w:pStyle w:val="ListBullet"/>
        <w:spacing w:after="80"/>
      </w:pPr>
      <w:r>
        <w:rPr>
          <w:rFonts w:ascii="微軟正黑體" w:hAnsi="微軟正黑體" w:eastAsia="微軟正黑體"/>
          <w:sz w:val="22"/>
        </w:rPr>
        <w:t>研究方法：說明本研究建構之多模組管線——Point-in-Time 防洩漏資料層、VQ-VAE 向量量化降噪、雙軌（時序／空間）深度表徵萃取、GBDT 顯性風險預測與崩盤護欄、三軌 PPO 強化學習動態決策集成，以及與之配套的嚴謹統計驗證框架。</w:t>
      </w:r>
    </w:p>
    <w:p>
      <w:pPr>
        <w:pStyle w:val="ListBullet"/>
        <w:spacing w:after="80"/>
      </w:pPr>
      <w:r>
        <w:rPr>
          <w:rFonts w:ascii="微軟正黑體" w:hAnsi="微軟正黑體" w:eastAsia="微軟正黑體"/>
          <w:sz w:val="22"/>
        </w:rPr>
        <w:t>實驗設計：概述四項消融實驗（空間專家、崩盤護欄、PPO 集成、VQ-VAE 降噪）之對照組設計邏輯與樣本內／樣本外雙區間驗證安排。</w:t>
      </w:r>
    </w:p>
    <w:p>
      <w:pPr>
        <w:pStyle w:val="ListBullet"/>
        <w:spacing w:after="80"/>
      </w:pPr>
      <w:r>
        <w:rPr>
          <w:rFonts w:ascii="微軟正黑體" w:hAnsi="微軟正黑體" w:eastAsia="微軟正黑體"/>
          <w:sz w:val="22"/>
        </w:rPr>
        <w:t>核心發現：如實摘要目前實證結果──哪些模組具備統計顯著之邊際貢獻（如崩盤護欄於歷史危機事件中之尾端風險抑制效果），哪些模組在目前特徵集與資料規模下未展現統計顯著的預測增益（如深度表徵之 GBDT OOF AUC 未顯著超越原始特徵基準）。</w:t>
      </w:r>
    </w:p>
    <w:p>
      <w:pPr>
        <w:pStyle w:val="ListBullet"/>
        <w:spacing w:after="80"/>
      </w:pPr>
      <w:r>
        <w:rPr>
          <w:rFonts w:ascii="微軟正黑體" w:hAnsi="微軟正黑體" w:eastAsia="微軟正黑體"/>
          <w:sz w:val="22"/>
        </w:rPr>
        <w:t>研究貢獻：強調本論文之核心貢獻在於一套「可重現、具備 Point-in-Time 正確性、統計嚴謹」的量化研究方法論與驗證框架，而非宣稱一個具穩定超額報酬的交易策略。</w:t>
      </w:r>
    </w:p>
    <w:p>
      <w:pPr>
        <w:spacing w:after="200"/>
      </w:pPr>
      <w:r>
        <w:rPr>
          <w:rFonts w:ascii="微軟正黑體" w:hAnsi="微軟正黑體" w:eastAsia="微軟正黑體"/>
          <w:i/>
          <w:color w:val="946000"/>
          <w:sz w:val="20"/>
        </w:rPr>
        <w:t>Abstract（英文摘要）：待中文摘要定稿後翻譯，內容與中文摘要一一對應。</w:t>
      </w:r>
    </w:p>
    <w:p>
      <w:r>
        <w:br w:type="page"/>
      </w:r>
    </w:p>
    <w:p>
      <w:pPr>
        <w:pStyle w:val="Heading1"/>
        <w:spacing w:before="480" w:after="240"/>
      </w:pPr>
      <w:r>
        <w:rPr>
          <w:rFonts w:ascii="微軟正黑體" w:hAnsi="微軟正黑體" w:eastAsia="微軟正黑體"/>
          <w:b/>
          <w:color w:val="1F3864"/>
          <w:sz w:val="32"/>
        </w:rPr>
        <w:t>目錄</w:t>
      </w:r>
    </w:p>
    <w:p>
      <w:pPr>
        <w:spacing w:after="200"/>
      </w:pPr>
      <w:r>
        <w:rPr>
          <w:rFonts w:ascii="微軟正黑體" w:hAnsi="微軟正黑體" w:eastAsia="微軟正黑體"/>
          <w:i/>
          <w:color w:val="946000"/>
          <w:sz w:val="20"/>
        </w:rPr>
        <w:t>請在 Word 中點選本頁 → 參照（References）→ 目錄（Table of Contents）→ 更新整個欄位，即可依下方章節標題自動產生含頁碼之目錄。</w:t>
      </w:r>
    </w:p>
    <w:p>
      <w:r>
        <w:fldChar w:fldCharType="begin"/>
      </w:r>
      <w:r>
        <w:instrText xml:space="preserve">TOC \o "1-3" \h \z \u</w:instrText>
      </w:r>
      <w:r>
        <w:fldChar w:fldCharType="separate"/>
      </w:r>
      <w:r>
        <w:t>目錄 (請在 Word 中右鍵點選「更新欄位」)</w:t>
      </w:r>
      <w:r>
        <w:fldChar w:fldCharType="end"/>
      </w:r>
    </w:p>
    <w:p>
      <w:r>
        <w:br w:type="page"/>
      </w:r>
    </w:p>
    <w:p>
      <w:pPr>
        <w:pStyle w:val="Heading1"/>
        <w:spacing w:before="480" w:after="240"/>
      </w:pPr>
      <w:r>
        <w:rPr>
          <w:rFonts w:ascii="微軟正黑體" w:hAnsi="微軟正黑體" w:eastAsia="微軟正黑體"/>
          <w:b/>
          <w:color w:val="1F3864"/>
          <w:sz w:val="32"/>
        </w:rPr>
        <w:t>圖表待補清單</w:t>
      </w:r>
    </w:p>
    <w:p>
      <w:pPr>
        <w:spacing w:after="160" w:line="300" w:lineRule="exact"/>
        <w:jc w:val="both"/>
      </w:pPr>
      <w:r>
        <w:rPr>
          <w:rFonts w:ascii="微軟正黑體" w:hAnsi="微軟正黑體" w:eastAsia="微軟正黑體"/>
          <w:sz w:val="22"/>
        </w:rPr>
        <w:t>以下彙整全文預計引用之圖、表與對應的原始素材檔名，待你提供圖片或整理後之數據表，即可依編號插入對應章節。</w:t>
      </w:r>
    </w:p>
    <w:tbl>
      <w:tblPr>
        <w:tblStyle w:val="TableGrid"/>
        <w:tblW w:type="auto" w:w="0"/>
        <w:tblLook w:firstColumn="1" w:firstRow="1" w:lastColumn="0" w:lastRow="0" w:noHBand="0" w:noVBand="1" w:val="04A0"/>
      </w:tblPr>
      <w:tblGrid>
        <w:gridCol w:w="2160"/>
        <w:gridCol w:w="2160"/>
        <w:gridCol w:w="2160"/>
        <w:gridCol w:w="2160"/>
      </w:tblGrid>
      <w:tr>
        <w:tc>
          <w:tcPr>
            <w:tcW w:type="dxa" w:w="1200"/>
            <w:shd w:fill="1F3864"/>
            <w:vAlign w:val="center"/>
          </w:tcPr>
          <w:p>
            <w:pPr>
              <w:jc w:val="center"/>
            </w:pPr>
            <w:r>
              <w:rPr>
                <w:rFonts w:ascii="微軟正黑體" w:hAnsi="微軟正黑體" w:eastAsia="微軟正黑體"/>
                <w:b/>
                <w:color w:val="FFFFFF"/>
                <w:sz w:val="19"/>
              </w:rPr>
              <w:t>編號</w:t>
            </w:r>
          </w:p>
        </w:tc>
        <w:tc>
          <w:tcPr>
            <w:tcW w:type="dxa" w:w="3600"/>
            <w:shd w:fill="1F3864"/>
            <w:vAlign w:val="center"/>
          </w:tcPr>
          <w:p>
            <w:pPr>
              <w:jc w:val="center"/>
            </w:pPr>
            <w:r>
              <w:rPr>
                <w:rFonts w:ascii="微軟正黑體" w:hAnsi="微軟正黑體" w:eastAsia="微軟正黑體"/>
                <w:b/>
                <w:color w:val="FFFFFF"/>
                <w:sz w:val="19"/>
              </w:rPr>
              <w:t>名稱</w:t>
            </w:r>
          </w:p>
        </w:tc>
        <w:tc>
          <w:tcPr>
            <w:tcW w:type="dxa" w:w="4600"/>
            <w:shd w:fill="1F3864"/>
            <w:vAlign w:val="center"/>
          </w:tcPr>
          <w:p>
            <w:pPr>
              <w:jc w:val="center"/>
            </w:pPr>
            <w:r>
              <w:rPr>
                <w:rFonts w:ascii="微軟正黑體" w:hAnsi="微軟正黑體" w:eastAsia="微軟正黑體"/>
                <w:b/>
                <w:color w:val="FFFFFF"/>
                <w:sz w:val="19"/>
              </w:rPr>
              <w:t>對應素材來源</w:t>
            </w:r>
          </w:p>
        </w:tc>
        <w:tc>
          <w:tcPr>
            <w:tcW w:type="dxa" w:w="1600"/>
            <w:shd w:fill="1F3864"/>
            <w:vAlign w:val="center"/>
          </w:tcPr>
          <w:p>
            <w:pPr>
              <w:jc w:val="center"/>
            </w:pPr>
            <w:r>
              <w:rPr>
                <w:rFonts w:ascii="微軟正黑體" w:hAnsi="微軟正黑體" w:eastAsia="微軟正黑體"/>
                <w:b/>
                <w:color w:val="FFFFFF"/>
                <w:sz w:val="19"/>
              </w:rPr>
              <w:t>所屬章節</w:t>
            </w:r>
          </w:p>
        </w:tc>
      </w:tr>
      <w:tr>
        <w:tc>
          <w:tcPr>
            <w:tcW w:type="dxa" w:w="1200"/>
            <w:vAlign w:val="center"/>
          </w:tcPr>
          <w:p>
            <w:r>
              <w:rPr>
                <w:rFonts w:ascii="微軟正黑體" w:hAnsi="微軟正黑體" w:eastAsia="微軟正黑體"/>
                <w:sz w:val="19"/>
              </w:rPr>
              <w:t>圖 3-1</w:t>
            </w:r>
          </w:p>
        </w:tc>
        <w:tc>
          <w:tcPr>
            <w:tcW w:type="dxa" w:w="3600"/>
            <w:vAlign w:val="center"/>
          </w:tcPr>
          <w:p>
            <w:r>
              <w:rPr>
                <w:rFonts w:ascii="微軟正黑體" w:hAnsi="微軟正黑體" w:eastAsia="微軟正黑體"/>
                <w:sz w:val="19"/>
              </w:rPr>
              <w:t>系統整體管線架構圖</w:t>
            </w:r>
          </w:p>
        </w:tc>
        <w:tc>
          <w:tcPr>
            <w:tcW w:type="dxa" w:w="4600"/>
            <w:vAlign w:val="center"/>
          </w:tcPr>
          <w:p>
            <w:r>
              <w:rPr>
                <w:rFonts w:ascii="微軟正黑體" w:hAnsi="微軟正黑體" w:eastAsia="微軟正黑體"/>
                <w:sz w:val="19"/>
              </w:rPr>
              <w:t>依 3.1～3.9 節內容重新繪製流程圖</w:t>
            </w:r>
          </w:p>
        </w:tc>
        <w:tc>
          <w:tcPr>
            <w:tcW w:type="dxa" w:w="1600"/>
            <w:vAlign w:val="center"/>
          </w:tcPr>
          <w:p>
            <w:r>
              <w:rPr>
                <w:rFonts w:ascii="微軟正黑體" w:hAnsi="微軟正黑體" w:eastAsia="微軟正黑體"/>
                <w:sz w:val="19"/>
              </w:rPr>
              <w:t>第三章</w:t>
            </w:r>
          </w:p>
        </w:tc>
      </w:tr>
      <w:tr>
        <w:tc>
          <w:tcPr>
            <w:tcW w:type="dxa" w:w="1200"/>
            <w:vAlign w:val="center"/>
          </w:tcPr>
          <w:p>
            <w:r>
              <w:rPr>
                <w:rFonts w:ascii="微軟正黑體" w:hAnsi="微軟正黑體" w:eastAsia="微軟正黑體"/>
                <w:sz w:val="19"/>
              </w:rPr>
              <w:t>圖 5-1</w:t>
            </w:r>
          </w:p>
        </w:tc>
        <w:tc>
          <w:tcPr>
            <w:tcW w:type="dxa" w:w="3600"/>
            <w:vAlign w:val="center"/>
          </w:tcPr>
          <w:p>
            <w:r>
              <w:rPr>
                <w:rFonts w:ascii="微軟正黑體" w:hAnsi="微軟正黑體" w:eastAsia="微軟正黑體"/>
                <w:sz w:val="19"/>
              </w:rPr>
              <w:t>雙軌萃取器訓練／驗證損失曲線</w:t>
            </w:r>
          </w:p>
        </w:tc>
        <w:tc>
          <w:tcPr>
            <w:tcW w:type="dxa" w:w="4600"/>
            <w:vAlign w:val="center"/>
          </w:tcPr>
          <w:p>
            <w:r>
              <w:rPr>
                <w:rFonts w:ascii="微軟正黑體" w:hAnsi="微軟正黑體" w:eastAsia="微軟正黑體"/>
                <w:sz w:val="19"/>
              </w:rPr>
              <w:t>results/models/Phase2_Loss_Curve.png</w:t>
            </w:r>
          </w:p>
        </w:tc>
        <w:tc>
          <w:tcPr>
            <w:tcW w:type="dxa" w:w="1600"/>
            <w:vAlign w:val="center"/>
          </w:tcPr>
          <w:p>
            <w:r>
              <w:rPr>
                <w:rFonts w:ascii="微軟正黑體" w:hAnsi="微軟正黑體" w:eastAsia="微軟正黑體"/>
                <w:sz w:val="19"/>
              </w:rPr>
              <w:t>5.2 節</w:t>
            </w:r>
          </w:p>
        </w:tc>
      </w:tr>
      <w:tr>
        <w:tc>
          <w:tcPr>
            <w:tcW w:type="dxa" w:w="1200"/>
            <w:vAlign w:val="center"/>
          </w:tcPr>
          <w:p>
            <w:r>
              <w:rPr>
                <w:rFonts w:ascii="微軟正黑體" w:hAnsi="微軟正黑體" w:eastAsia="微軟正黑體"/>
                <w:sz w:val="19"/>
              </w:rPr>
              <w:t>圖 5-2</w:t>
            </w:r>
          </w:p>
        </w:tc>
        <w:tc>
          <w:tcPr>
            <w:tcW w:type="dxa" w:w="3600"/>
            <w:vAlign w:val="center"/>
          </w:tcPr>
          <w:p>
            <w:r>
              <w:rPr>
                <w:rFonts w:ascii="微軟正黑體" w:hAnsi="微軟正黑體" w:eastAsia="微軟正黑體"/>
                <w:sz w:val="19"/>
              </w:rPr>
              <w:t>GCN 靜態關聯圖譜</w:t>
            </w:r>
          </w:p>
        </w:tc>
        <w:tc>
          <w:tcPr>
            <w:tcW w:type="dxa" w:w="4600"/>
            <w:vAlign w:val="center"/>
          </w:tcPr>
          <w:p>
            <w:r>
              <w:rPr>
                <w:rFonts w:ascii="微軟正黑體" w:hAnsi="微軟正黑體" w:eastAsia="微軟正黑體"/>
                <w:sz w:val="19"/>
              </w:rPr>
              <w:t>results/models/Phase2_GCN_Adjacency_Matrix.png</w:t>
            </w:r>
          </w:p>
        </w:tc>
        <w:tc>
          <w:tcPr>
            <w:tcW w:type="dxa" w:w="1600"/>
            <w:vAlign w:val="center"/>
          </w:tcPr>
          <w:p>
            <w:r>
              <w:rPr>
                <w:rFonts w:ascii="微軟正黑體" w:hAnsi="微軟正黑體" w:eastAsia="微軟正黑體"/>
                <w:sz w:val="19"/>
              </w:rPr>
              <w:t>5.2 節</w:t>
            </w:r>
          </w:p>
        </w:tc>
      </w:tr>
      <w:tr>
        <w:tc>
          <w:tcPr>
            <w:tcW w:type="dxa" w:w="1200"/>
            <w:vAlign w:val="center"/>
          </w:tcPr>
          <w:p>
            <w:r>
              <w:rPr>
                <w:rFonts w:ascii="微軟正黑體" w:hAnsi="微軟正黑體" w:eastAsia="微軟正黑體"/>
                <w:sz w:val="19"/>
              </w:rPr>
              <w:t>圖 5-3</w:t>
            </w:r>
          </w:p>
        </w:tc>
        <w:tc>
          <w:tcPr>
            <w:tcW w:type="dxa" w:w="3600"/>
            <w:vAlign w:val="center"/>
          </w:tcPr>
          <w:p>
            <w:r>
              <w:rPr>
                <w:rFonts w:ascii="微軟正黑體" w:hAnsi="微軟正黑體" w:eastAsia="微軟正黑體"/>
                <w:sz w:val="19"/>
              </w:rPr>
              <w:t>SHAP 特徵歸因圖（時序專家）</w:t>
            </w:r>
          </w:p>
        </w:tc>
        <w:tc>
          <w:tcPr>
            <w:tcW w:type="dxa" w:w="4600"/>
            <w:vAlign w:val="center"/>
          </w:tcPr>
          <w:p>
            <w:r>
              <w:rPr>
                <w:rFonts w:ascii="微軟正黑體" w:hAnsi="微軟正黑體" w:eastAsia="微軟正黑體"/>
                <w:sz w:val="19"/>
              </w:rPr>
              <w:t>results/models/Phase3_SHAP_TimeExpert.png</w:t>
            </w:r>
          </w:p>
        </w:tc>
        <w:tc>
          <w:tcPr>
            <w:tcW w:type="dxa" w:w="1600"/>
            <w:vAlign w:val="center"/>
          </w:tcPr>
          <w:p>
            <w:r>
              <w:rPr>
                <w:rFonts w:ascii="微軟正黑體" w:hAnsi="微軟正黑體" w:eastAsia="微軟正黑體"/>
                <w:sz w:val="19"/>
              </w:rPr>
              <w:t>5.3 節</w:t>
            </w:r>
          </w:p>
        </w:tc>
      </w:tr>
      <w:tr>
        <w:tc>
          <w:tcPr>
            <w:tcW w:type="dxa" w:w="1200"/>
            <w:vAlign w:val="center"/>
          </w:tcPr>
          <w:p>
            <w:r>
              <w:rPr>
                <w:rFonts w:ascii="微軟正黑體" w:hAnsi="微軟正黑體" w:eastAsia="微軟正黑體"/>
                <w:sz w:val="19"/>
              </w:rPr>
              <w:t>圖 5-4</w:t>
            </w:r>
          </w:p>
        </w:tc>
        <w:tc>
          <w:tcPr>
            <w:tcW w:type="dxa" w:w="3600"/>
            <w:vAlign w:val="center"/>
          </w:tcPr>
          <w:p>
            <w:r>
              <w:rPr>
                <w:rFonts w:ascii="微軟正黑體" w:hAnsi="微軟正黑體" w:eastAsia="微軟正黑體"/>
                <w:sz w:val="19"/>
              </w:rPr>
              <w:t>P2-2 崩盤護欄消融對比圖</w:t>
            </w:r>
          </w:p>
        </w:tc>
        <w:tc>
          <w:tcPr>
            <w:tcW w:type="dxa" w:w="4600"/>
            <w:vAlign w:val="center"/>
          </w:tcPr>
          <w:p>
            <w:r>
              <w:rPr>
                <w:rFonts w:ascii="微軟正黑體" w:hAnsi="微軟正黑體" w:eastAsia="微軟正黑體"/>
                <w:sz w:val="19"/>
              </w:rPr>
              <w:t>results/reports/P2_2_CrashGuard_Ablation.png</w:t>
            </w:r>
          </w:p>
        </w:tc>
        <w:tc>
          <w:tcPr>
            <w:tcW w:type="dxa" w:w="1600"/>
            <w:vAlign w:val="center"/>
          </w:tcPr>
          <w:p>
            <w:r>
              <w:rPr>
                <w:rFonts w:ascii="微軟正黑體" w:hAnsi="微軟正黑體" w:eastAsia="微軟正黑體"/>
                <w:sz w:val="19"/>
              </w:rPr>
              <w:t>5.8 節</w:t>
            </w:r>
          </w:p>
        </w:tc>
      </w:tr>
      <w:tr>
        <w:tc>
          <w:tcPr>
            <w:tcW w:type="dxa" w:w="1200"/>
            <w:vAlign w:val="center"/>
          </w:tcPr>
          <w:p>
            <w:r>
              <w:rPr>
                <w:rFonts w:ascii="微軟正黑體" w:hAnsi="微軟正黑體" w:eastAsia="微軟正黑體"/>
                <w:sz w:val="19"/>
              </w:rPr>
              <w:t>圖 5-5</w:t>
            </w:r>
          </w:p>
        </w:tc>
        <w:tc>
          <w:tcPr>
            <w:tcW w:type="dxa" w:w="3600"/>
            <w:vAlign w:val="center"/>
          </w:tcPr>
          <w:p>
            <w:r>
              <w:rPr>
                <w:rFonts w:ascii="微軟正黑體" w:hAnsi="微軟正黑體" w:eastAsia="微軟正黑體"/>
                <w:sz w:val="19"/>
              </w:rPr>
              <w:t>P2-3 PPO 三軌集成消融對比圖</w:t>
            </w:r>
          </w:p>
        </w:tc>
        <w:tc>
          <w:tcPr>
            <w:tcW w:type="dxa" w:w="4600"/>
            <w:vAlign w:val="center"/>
          </w:tcPr>
          <w:p>
            <w:r>
              <w:rPr>
                <w:rFonts w:ascii="微軟正黑體" w:hAnsi="微軟正黑體" w:eastAsia="微軟正黑體"/>
                <w:sz w:val="19"/>
              </w:rPr>
              <w:t>results/reports/P2_3_PPO_Ensemble_Ablation.png</w:t>
            </w:r>
          </w:p>
        </w:tc>
        <w:tc>
          <w:tcPr>
            <w:tcW w:type="dxa" w:w="1600"/>
            <w:vAlign w:val="center"/>
          </w:tcPr>
          <w:p>
            <w:r>
              <w:rPr>
                <w:rFonts w:ascii="微軟正黑體" w:hAnsi="微軟正黑體" w:eastAsia="微軟正黑體"/>
                <w:sz w:val="19"/>
              </w:rPr>
              <w:t>5.9 節</w:t>
            </w:r>
          </w:p>
        </w:tc>
      </w:tr>
      <w:tr>
        <w:tc>
          <w:tcPr>
            <w:tcW w:type="dxa" w:w="1200"/>
            <w:vAlign w:val="center"/>
          </w:tcPr>
          <w:p>
            <w:r>
              <w:rPr>
                <w:rFonts w:ascii="微軟正黑體" w:hAnsi="微軟正黑體" w:eastAsia="微軟正黑體"/>
                <w:sz w:val="19"/>
              </w:rPr>
              <w:t>圖 5-6</w:t>
            </w:r>
          </w:p>
        </w:tc>
        <w:tc>
          <w:tcPr>
            <w:tcW w:type="dxa" w:w="3600"/>
            <w:vAlign w:val="center"/>
          </w:tcPr>
          <w:p>
            <w:r>
              <w:rPr>
                <w:rFonts w:ascii="微軟正黑體" w:hAnsi="微軟正黑體" w:eastAsia="微軟正黑體"/>
                <w:sz w:val="19"/>
              </w:rPr>
              <w:t>P2-4 VQ-VAE 降噪消融對比圖</w:t>
            </w:r>
          </w:p>
        </w:tc>
        <w:tc>
          <w:tcPr>
            <w:tcW w:type="dxa" w:w="4600"/>
            <w:vAlign w:val="center"/>
          </w:tcPr>
          <w:p>
            <w:r>
              <w:rPr>
                <w:rFonts w:ascii="微軟正黑體" w:hAnsi="微軟正黑體" w:eastAsia="微軟正黑體"/>
                <w:sz w:val="19"/>
              </w:rPr>
              <w:t>results/reports/P2_4_VQVAE_Ablation.png</w:t>
            </w:r>
          </w:p>
        </w:tc>
        <w:tc>
          <w:tcPr>
            <w:tcW w:type="dxa" w:w="1600"/>
            <w:vAlign w:val="center"/>
          </w:tcPr>
          <w:p>
            <w:r>
              <w:rPr>
                <w:rFonts w:ascii="微軟正黑體" w:hAnsi="微軟正黑體" w:eastAsia="微軟正黑體"/>
                <w:sz w:val="19"/>
              </w:rPr>
              <w:t>5.10 節</w:t>
            </w:r>
          </w:p>
        </w:tc>
      </w:tr>
      <w:tr>
        <w:tc>
          <w:tcPr>
            <w:tcW w:type="dxa" w:w="1200"/>
            <w:vAlign w:val="center"/>
          </w:tcPr>
          <w:p>
            <w:r>
              <w:rPr>
                <w:rFonts w:ascii="微軟正黑體" w:hAnsi="微軟正黑體" w:eastAsia="微軟正黑體"/>
                <w:sz w:val="19"/>
              </w:rPr>
              <w:t>圖 5-7</w:t>
            </w:r>
          </w:p>
        </w:tc>
        <w:tc>
          <w:tcPr>
            <w:tcW w:type="dxa" w:w="3600"/>
            <w:vAlign w:val="center"/>
          </w:tcPr>
          <w:p>
            <w:r>
              <w:rPr>
                <w:rFonts w:ascii="微軟正黑體" w:hAnsi="微軟正黑體" w:eastAsia="微軟正黑體"/>
                <w:sz w:val="19"/>
              </w:rPr>
              <w:t>Walk-Forward 回測綜合報表（淨值/回撤/現金/護欄機率）</w:t>
            </w:r>
          </w:p>
        </w:tc>
        <w:tc>
          <w:tcPr>
            <w:tcW w:type="dxa" w:w="4600"/>
            <w:vAlign w:val="center"/>
          </w:tcPr>
          <w:p>
            <w:r>
              <w:rPr>
                <w:rFonts w:ascii="微軟正黑體" w:hAnsi="微軟正黑體" w:eastAsia="微軟正黑體"/>
                <w:sz w:val="19"/>
              </w:rPr>
              <w:t>Run_WalkForward_Backtest.m 第 7 節圖表（★目前程式未 saveas 存檔，需補上儲存指令後重跑一次）</w:t>
            </w:r>
          </w:p>
        </w:tc>
        <w:tc>
          <w:tcPr>
            <w:tcW w:type="dxa" w:w="1600"/>
            <w:vAlign w:val="center"/>
          </w:tcPr>
          <w:p>
            <w:r>
              <w:rPr>
                <w:rFonts w:ascii="微軟正黑體" w:hAnsi="微軟正黑體" w:eastAsia="微軟正黑體"/>
                <w:sz w:val="19"/>
              </w:rPr>
              <w:t>5.6 節</w:t>
            </w:r>
          </w:p>
        </w:tc>
      </w:tr>
      <w:tr>
        <w:tc>
          <w:tcPr>
            <w:tcW w:type="dxa" w:w="1200"/>
            <w:vAlign w:val="center"/>
          </w:tcPr>
          <w:p>
            <w:r>
              <w:rPr>
                <w:rFonts w:ascii="微軟正黑體" w:hAnsi="微軟正黑體" w:eastAsia="微軟正黑體"/>
                <w:sz w:val="19"/>
              </w:rPr>
              <w:t>表 5-1</w:t>
            </w:r>
          </w:p>
        </w:tc>
        <w:tc>
          <w:tcPr>
            <w:tcW w:type="dxa" w:w="3600"/>
            <w:vAlign w:val="center"/>
          </w:tcPr>
          <w:p>
            <w:r>
              <w:rPr>
                <w:rFonts w:ascii="微軟正黑體" w:hAnsi="微軟正黑體" w:eastAsia="微軟正黑體"/>
                <w:sz w:val="19"/>
              </w:rPr>
              <w:t>1D／5D Horizon HAC-ICIR 特徵排行榜</w:t>
            </w:r>
          </w:p>
        </w:tc>
        <w:tc>
          <w:tcPr>
            <w:tcW w:type="dxa" w:w="4600"/>
            <w:vAlign w:val="center"/>
          </w:tcPr>
          <w:p>
            <w:r>
              <w:rPr>
                <w:rFonts w:ascii="微軟正黑體" w:hAnsi="微軟正黑體" w:eastAsia="微軟正黑體"/>
                <w:sz w:val="19"/>
              </w:rPr>
              <w:t>執行過程.txt（Phase 2 特徵健檢輸出）整理</w:t>
            </w:r>
          </w:p>
        </w:tc>
        <w:tc>
          <w:tcPr>
            <w:tcW w:type="dxa" w:w="1600"/>
            <w:vAlign w:val="center"/>
          </w:tcPr>
          <w:p>
            <w:r>
              <w:rPr>
                <w:rFonts w:ascii="微軟正黑體" w:hAnsi="微軟正黑體" w:eastAsia="微軟正黑體"/>
                <w:sz w:val="19"/>
              </w:rPr>
              <w:t>5.1 節</w:t>
            </w:r>
          </w:p>
        </w:tc>
      </w:tr>
      <w:tr>
        <w:tc>
          <w:tcPr>
            <w:tcW w:type="dxa" w:w="1200"/>
            <w:vAlign w:val="center"/>
          </w:tcPr>
          <w:p>
            <w:r>
              <w:rPr>
                <w:rFonts w:ascii="微軟正黑體" w:hAnsi="微軟正黑體" w:eastAsia="微軟正黑體"/>
                <w:sz w:val="19"/>
              </w:rPr>
              <w:t>表 5-2</w:t>
            </w:r>
          </w:p>
        </w:tc>
        <w:tc>
          <w:tcPr>
            <w:tcW w:type="dxa" w:w="3600"/>
            <w:vAlign w:val="center"/>
          </w:tcPr>
          <w:p>
            <w:r>
              <w:rPr>
                <w:rFonts w:ascii="微軟正黑體" w:hAnsi="微軟正黑體" w:eastAsia="微軟正黑體"/>
                <w:sz w:val="19"/>
              </w:rPr>
              <w:t>GBDT 專家 OOF AUC 對照表（Raw／Time／Space）</w:t>
            </w:r>
          </w:p>
        </w:tc>
        <w:tc>
          <w:tcPr>
            <w:tcW w:type="dxa" w:w="4600"/>
            <w:vAlign w:val="center"/>
          </w:tcPr>
          <w:p>
            <w:r>
              <w:rPr>
                <w:rFonts w:ascii="微軟正黑體" w:hAnsi="微軟正黑體" w:eastAsia="微軟正黑體"/>
                <w:sz w:val="19"/>
              </w:rPr>
              <w:t>執行過程.txt（Phase 3 輸出）整理</w:t>
            </w:r>
          </w:p>
        </w:tc>
        <w:tc>
          <w:tcPr>
            <w:tcW w:type="dxa" w:w="1600"/>
            <w:vAlign w:val="center"/>
          </w:tcPr>
          <w:p>
            <w:r>
              <w:rPr>
                <w:rFonts w:ascii="微軟正黑體" w:hAnsi="微軟正黑體" w:eastAsia="微軟正黑體"/>
                <w:sz w:val="19"/>
              </w:rPr>
              <w:t>5.3 節</w:t>
            </w:r>
          </w:p>
        </w:tc>
      </w:tr>
      <w:tr>
        <w:tc>
          <w:tcPr>
            <w:tcW w:type="dxa" w:w="1200"/>
            <w:vAlign w:val="center"/>
          </w:tcPr>
          <w:p>
            <w:r>
              <w:rPr>
                <w:rFonts w:ascii="微軟正黑體" w:hAnsi="微軟正黑體" w:eastAsia="微軟正黑體"/>
                <w:sz w:val="19"/>
              </w:rPr>
              <w:t>表 5-3</w:t>
            </w:r>
          </w:p>
        </w:tc>
        <w:tc>
          <w:tcPr>
            <w:tcW w:type="dxa" w:w="3600"/>
            <w:vAlign w:val="center"/>
          </w:tcPr>
          <w:p>
            <w:r>
              <w:rPr>
                <w:rFonts w:ascii="微軟正黑體" w:hAnsi="微軟正黑體" w:eastAsia="微軟正黑體"/>
                <w:sz w:val="19"/>
              </w:rPr>
              <w:t>P2-1～P2-4 消融實驗數據彙總表</w:t>
            </w:r>
          </w:p>
        </w:tc>
        <w:tc>
          <w:tcPr>
            <w:tcW w:type="dxa" w:w="4600"/>
            <w:vAlign w:val="center"/>
          </w:tcPr>
          <w:p>
            <w:r>
              <w:rPr>
                <w:rFonts w:ascii="微軟正黑體" w:hAnsi="微軟正黑體" w:eastAsia="微軟正黑體"/>
                <w:sz w:val="19"/>
              </w:rPr>
              <w:t>消融實驗紀錄.txt 整理</w:t>
            </w:r>
          </w:p>
        </w:tc>
        <w:tc>
          <w:tcPr>
            <w:tcW w:type="dxa" w:w="1600"/>
            <w:vAlign w:val="center"/>
          </w:tcPr>
          <w:p>
            <w:r>
              <w:rPr>
                <w:rFonts w:ascii="微軟正黑體" w:hAnsi="微軟正黑體" w:eastAsia="微軟正黑體"/>
                <w:sz w:val="19"/>
              </w:rPr>
              <w:t>5.7～5.10 節</w:t>
            </w:r>
          </w:p>
        </w:tc>
      </w:tr>
      <w:tr>
        <w:tc>
          <w:tcPr>
            <w:tcW w:type="dxa" w:w="1200"/>
            <w:vAlign w:val="center"/>
          </w:tcPr>
          <w:p>
            <w:r>
              <w:rPr>
                <w:rFonts w:ascii="微軟正黑體" w:hAnsi="微軟正黑體" w:eastAsia="微軟正黑體"/>
                <w:sz w:val="19"/>
              </w:rPr>
              <w:t>表 5-4</w:t>
            </w:r>
          </w:p>
        </w:tc>
        <w:tc>
          <w:tcPr>
            <w:tcW w:type="dxa" w:w="3600"/>
            <w:vAlign w:val="center"/>
          </w:tcPr>
          <w:p>
            <w:r>
              <w:rPr>
                <w:rFonts w:ascii="微軟正黑體" w:hAnsi="微軟正黑體" w:eastAsia="微軟正黑體"/>
                <w:sz w:val="19"/>
              </w:rPr>
              <w:t>Walk-Forward IS／OOS 績效總表</w:t>
            </w:r>
          </w:p>
        </w:tc>
        <w:tc>
          <w:tcPr>
            <w:tcW w:type="dxa" w:w="4600"/>
            <w:vAlign w:val="center"/>
          </w:tcPr>
          <w:p>
            <w:r>
              <w:rPr>
                <w:rFonts w:ascii="微軟正黑體" w:hAnsi="微軟正黑體" w:eastAsia="微軟正黑體"/>
                <w:sz w:val="19"/>
              </w:rPr>
              <w:t>執行過程.txt（Phase 6 輸出）整理</w:t>
            </w:r>
          </w:p>
        </w:tc>
        <w:tc>
          <w:tcPr>
            <w:tcW w:type="dxa" w:w="1600"/>
            <w:vAlign w:val="center"/>
          </w:tcPr>
          <w:p>
            <w:r>
              <w:rPr>
                <w:rFonts w:ascii="微軟正黑體" w:hAnsi="微軟正黑體" w:eastAsia="微軟正黑體"/>
                <w:sz w:val="19"/>
              </w:rPr>
              <w:t>5.6 節</w:t>
            </w:r>
          </w:p>
        </w:tc>
      </w:tr>
    </w:tbl>
    <w:p>
      <w:r>
        <w:br w:type="page"/>
      </w:r>
    </w:p>
    <w:p>
      <w:pPr>
        <w:pStyle w:val="Heading1"/>
        <w:spacing w:before="480" w:after="240"/>
      </w:pPr>
      <w:r>
        <w:rPr>
          <w:rFonts w:ascii="微軟正黑體" w:hAnsi="微軟正黑體" w:eastAsia="微軟正黑體"/>
          <w:b/>
          <w:color w:val="1F3864"/>
          <w:sz w:val="32"/>
        </w:rPr>
        <w:t>第一章　緒論</w:t>
      </w:r>
    </w:p>
    <w:p>
      <w:pPr>
        <w:pStyle w:val="Heading2"/>
        <w:spacing w:before="320" w:after="160"/>
      </w:pPr>
      <w:r>
        <w:rPr>
          <w:rFonts w:ascii="微軟正黑體" w:hAnsi="微軟正黑體" w:eastAsia="微軟正黑體"/>
          <w:b/>
          <w:color w:val="2E5395"/>
          <w:sz w:val="26"/>
        </w:rPr>
        <w:t>1.1　研究背景</w:t>
      </w:r>
    </w:p>
    <w:p>
      <w:pPr>
        <w:spacing w:after="160" w:line="300" w:lineRule="exact"/>
        <w:jc w:val="both"/>
      </w:pPr>
      <w:r>
        <w:rPr>
          <w:rFonts w:ascii="微軟正黑體" w:hAnsi="微軟正黑體" w:eastAsia="微軟正黑體"/>
          <w:sz w:val="22"/>
        </w:rPr>
        <w:t>簡述量化投資方法於學術與業界之發展脈絡：自效率市場假說（Efficient Market Hypothesis）出發，說明統計套利、因子投資、機器學習與深度強化學習方法如何依序被引入以嘗試捕捉市場中不同型態的可預測結構（動能、反轉、跨資產協整關係、體制轉換等）。可作為文獻回顧前的鋪陳段落。</w:t>
      </w:r>
    </w:p>
    <w:p>
      <w:pPr>
        <w:spacing w:after="200"/>
      </w:pPr>
      <w:r>
        <w:rPr>
          <w:rFonts w:ascii="微軟正黑體" w:hAnsi="微軟正黑體" w:eastAsia="微軟正黑體"/>
          <w:i/>
          <w:color w:val="946000"/>
          <w:sz w:val="20"/>
        </w:rPr>
        <w:t>撰寫提示：建議篇幅 600–800 字；可引用 1–2 篇效率市場假說與量化因子投資之經典文獻作為開場。</w:t>
      </w:r>
    </w:p>
    <w:p>
      <w:pPr>
        <w:pStyle w:val="Heading2"/>
        <w:spacing w:before="320" w:after="160"/>
      </w:pPr>
      <w:r>
        <w:rPr>
          <w:rFonts w:ascii="微軟正黑體" w:hAnsi="微軟正黑體" w:eastAsia="微軟正黑體"/>
          <w:b/>
          <w:color w:val="2E5395"/>
          <w:sz w:val="26"/>
        </w:rPr>
        <w:t>1.2　研究動機與問題意識的演進（本論文敘事關鍵段落）</w:t>
      </w:r>
    </w:p>
    <w:p>
      <w:pPr>
        <w:spacing w:after="160" w:line="300" w:lineRule="exact"/>
        <w:jc w:val="both"/>
      </w:pPr>
      <w:r>
        <w:rPr>
          <w:rFonts w:ascii="微軟正黑體" w:hAnsi="微軟正黑體" w:eastAsia="微軟正黑體"/>
          <w:sz w:val="22"/>
        </w:rPr>
        <w:t>本節誠實記錄研究方法的演進歷程，是串接「傳統統計方法」與「深度學習／強化學習系統」兩階段研究的核心橋樑，建議依下列三段式鋪陳：</w:t>
      </w:r>
    </w:p>
    <w:p>
      <w:pPr>
        <w:pStyle w:val="Heading3"/>
        <w:spacing w:before="240" w:after="120"/>
      </w:pPr>
      <w:r>
        <w:rPr>
          <w:rFonts w:ascii="微軟正黑體" w:hAnsi="微軟正黑體" w:eastAsia="微軟正黑體"/>
          <w:b/>
          <w:color w:val="4472C4"/>
          <w:sz w:val="24"/>
        </w:rPr>
        <w:t>(1) 起點：統計套利與均值回歸假設</w:t>
      </w:r>
    </w:p>
    <w:p>
      <w:pPr>
        <w:spacing w:after="160" w:line="300" w:lineRule="exact"/>
        <w:jc w:val="both"/>
      </w:pPr>
      <w:r>
        <w:rPr>
          <w:rFonts w:ascii="微軟正黑體" w:hAnsi="微軟正黑體" w:eastAsia="微軟正黑體"/>
          <w:sz w:val="22"/>
        </w:rPr>
        <w:t>以 Spearman 秩相關係數衡量個股與大盤、或配對股票間的非線性單調關聯，並以 Engle-Granger 兩步法協整檢定驗證價差殘差是否具均值回歸（mean-reverting）之統計性質，作為配對交易策略之理論基礎。</w:t>
      </w:r>
    </w:p>
    <w:p>
      <w:pPr>
        <w:pStyle w:val="Heading3"/>
        <w:spacing w:before="240" w:after="120"/>
      </w:pPr>
      <w:r>
        <w:rPr>
          <w:rFonts w:ascii="微軟正黑體" w:hAnsi="微軟正黑體" w:eastAsia="微軟正黑體"/>
          <w:b/>
          <w:color w:val="4472C4"/>
          <w:sz w:val="24"/>
        </w:rPr>
        <w:t>(2) 侷限的發現</w:t>
      </w:r>
    </w:p>
    <w:p>
      <w:pPr>
        <w:pStyle w:val="ListBullet"/>
        <w:spacing w:after="80"/>
      </w:pPr>
      <w:r>
        <w:rPr>
          <w:rFonts w:ascii="微軟正黑體" w:hAnsi="微軟正黑體" w:eastAsia="微軟正黑體"/>
          <w:sz w:val="22"/>
        </w:rPr>
        <w:t>線性／單調關聯的侷限：相關係數與協整檢定僅能捕捉靜態、單調的共移動關係，難以刻畫市場中高維、非線性、時變的結構。</w:t>
      </w:r>
    </w:p>
    <w:p>
      <w:pPr>
        <w:pStyle w:val="ListBullet"/>
        <w:spacing w:after="80"/>
      </w:pPr>
      <w:r>
        <w:rPr>
          <w:rFonts w:ascii="微軟正黑體" w:hAnsi="微軟正黑體" w:eastAsia="微軟正黑體"/>
          <w:sz w:val="22"/>
        </w:rPr>
        <w:t>體制轉換的侷限：固定視窗估計之相關係數與協整關係在市場體制轉換（如 2008 金融海嘯、2020 COVID 崩盤）前後並不穩定，缺乏動態調適能力。</w:t>
      </w:r>
    </w:p>
    <w:p>
      <w:pPr>
        <w:pStyle w:val="ListBullet"/>
        <w:spacing w:after="80"/>
      </w:pPr>
      <w:r>
        <w:rPr>
          <w:rFonts w:ascii="微軟正黑體" w:hAnsi="微軟正黑體" w:eastAsia="微軟正黑體"/>
          <w:sz w:val="22"/>
        </w:rPr>
        <w:t>決策序列性的侷限：傳統統計訊號僅回答「是否存在訊號」，未能內生化風險管理、資金配置與交易成本等序列決策問題。</w:t>
      </w:r>
    </w:p>
    <w:p>
      <w:pPr>
        <w:pStyle w:val="Heading3"/>
        <w:spacing w:before="240" w:after="120"/>
      </w:pPr>
      <w:r>
        <w:rPr>
          <w:rFonts w:ascii="微軟正黑體" w:hAnsi="微軟正黑體" w:eastAsia="微軟正黑體"/>
          <w:b/>
          <w:color w:val="4472C4"/>
          <w:sz w:val="24"/>
        </w:rPr>
        <w:t>(3) 方法論轉向</w:t>
      </w:r>
    </w:p>
    <w:p>
      <w:pPr>
        <w:spacing w:after="160" w:line="300" w:lineRule="exact"/>
        <w:jc w:val="both"/>
      </w:pPr>
      <w:r>
        <w:rPr>
          <w:rFonts w:ascii="微軟正黑體" w:hAnsi="微軟正黑體" w:eastAsia="微軟正黑體"/>
          <w:sz w:val="22"/>
        </w:rPr>
        <w:t>為彌補上述侷限，本研究導入深度學習表徵學習（時序 Transformer-LSTM 與圖神經網路 DyGAT）以捕捉非線性與跨標的動態關聯，並導入強化學習（PPO）將資產配置問題形式化為序列決策問題。同時特別強調：模型複雜度提升後，資料洩漏、過度配適與多重檢定偏誤的風險同步升高，這正是本論文將「嚴謹統計驗證方法論」列為與模型架構同等重要之研究主軸的根本原因。</w:t>
      </w:r>
    </w:p>
    <w:p>
      <w:pPr>
        <w:spacing w:after="200"/>
      </w:pPr>
      <w:r>
        <w:rPr>
          <w:rFonts w:ascii="微軟正黑體" w:hAnsi="微軟正黑體" w:eastAsia="微軟正黑體"/>
          <w:i/>
          <w:color w:val="946000"/>
          <w:sz w:val="20"/>
        </w:rPr>
        <w:t>撰寫提示：建議篇幅 800–1000 字，可附【圖 1-1：研究方法演進示意圖】（統計方法 → 機器學習 → 深度學習／強化學習 → 統計驗證框架回饋）。</w:t>
      </w:r>
    </w:p>
    <w:p>
      <w:pPr>
        <w:pStyle w:val="Heading2"/>
        <w:spacing w:before="320" w:after="160"/>
      </w:pPr>
      <w:r>
        <w:rPr>
          <w:rFonts w:ascii="微軟正黑體" w:hAnsi="微軟正黑體" w:eastAsia="微軟正黑體"/>
          <w:b/>
          <w:color w:val="2E5395"/>
          <w:sz w:val="26"/>
        </w:rPr>
        <w:t>1.3　研究目的與範圍</w:t>
      </w:r>
    </w:p>
    <w:p>
      <w:pPr>
        <w:pStyle w:val="ListBullet"/>
        <w:spacing w:after="80"/>
      </w:pPr>
      <w:r>
        <w:rPr>
          <w:rFonts w:ascii="微軟正黑體" w:hAnsi="微軟正黑體" w:eastAsia="微軟正黑體"/>
          <w:sz w:val="22"/>
        </w:rPr>
        <w:t>建構具備 Point-in-Time 正確性（避免存活者偏差）之美股大宇宙資料管線。</w:t>
      </w:r>
    </w:p>
    <w:p>
      <w:pPr>
        <w:pStyle w:val="ListBullet"/>
        <w:spacing w:after="80"/>
      </w:pPr>
      <w:r>
        <w:rPr>
          <w:rFonts w:ascii="微軟正黑體" w:hAnsi="微軟正黑體" w:eastAsia="微軟正黑體"/>
          <w:sz w:val="22"/>
        </w:rPr>
        <w:t>建構結合向量量化降噪、雙軌時空表徵萃取、GBDT 顯性風險預測之多模組特徵與訊號生成系統。</w:t>
      </w:r>
    </w:p>
    <w:p>
      <w:pPr>
        <w:pStyle w:val="ListBullet"/>
        <w:spacing w:after="80"/>
      </w:pPr>
      <w:r>
        <w:rPr>
          <w:rFonts w:ascii="微軟正黑體" w:hAnsi="微軟正黑體" w:eastAsia="微軟正黑體"/>
          <w:sz w:val="22"/>
        </w:rPr>
        <w:t>建構三軌強化學習代理人動態資產配置決策系統，並以貝氏方法尋優其風險控制超參數。</w:t>
      </w:r>
    </w:p>
    <w:p>
      <w:pPr>
        <w:pStyle w:val="ListBullet"/>
        <w:spacing w:after="80"/>
      </w:pPr>
      <w:r>
        <w:rPr>
          <w:rFonts w:ascii="微軟正黑體" w:hAnsi="微軟正黑體" w:eastAsia="微軟正黑體"/>
          <w:sz w:val="22"/>
        </w:rPr>
        <w:t>建構一套嚴謹的統計驗證與消融實驗框架，誠實評估各模組之邊際貢獻，而非片面呈現有利結果。</w:t>
      </w:r>
    </w:p>
    <w:p>
      <w:pPr>
        <w:spacing w:after="160" w:line="300" w:lineRule="exact"/>
        <w:jc w:val="both"/>
      </w:pPr>
      <w:r>
        <w:rPr>
          <w:rFonts w:ascii="微軟正黑體" w:hAnsi="微軟正黑體" w:eastAsia="微軟正黑體"/>
          <w:sz w:val="22"/>
        </w:rPr>
        <w:t>研究範圍界定：本研究以美股 S&amp;P 500 歷史成分股大宇宙（含歷史增減成分股）為實證資料範圍，時間橫跨約 2006 年至今；研究目標非追求穩定可實盤部署之獲利策略，而是以「方法論可重現性」與「統計嚴謹性」作為第一優先之評估標準。</w:t>
      </w:r>
    </w:p>
    <w:p>
      <w:pPr>
        <w:pStyle w:val="Heading2"/>
        <w:spacing w:before="320" w:after="160"/>
      </w:pPr>
      <w:r>
        <w:rPr>
          <w:rFonts w:ascii="微軟正黑體" w:hAnsi="微軟正黑體" w:eastAsia="微軟正黑體"/>
          <w:b/>
          <w:color w:val="2E5395"/>
          <w:sz w:val="26"/>
        </w:rPr>
        <w:t>1.4　研究貢獻</w:t>
      </w:r>
    </w:p>
    <w:p>
      <w:pPr>
        <w:pStyle w:val="ListBullet"/>
        <w:spacing w:after="80"/>
      </w:pPr>
      <w:r>
        <w:rPr>
          <w:rFonts w:ascii="微軟正黑體" w:hAnsi="微軟正黑體" w:eastAsia="微軟正黑體"/>
          <w:sz w:val="22"/>
        </w:rPr>
        <w:t>整合 True Point-in-Time 歷史成分股重建流程，系統性防禦存活者偏差（Survivorship Bias）。</w:t>
      </w:r>
    </w:p>
    <w:p>
      <w:pPr>
        <w:pStyle w:val="ListBullet"/>
        <w:spacing w:after="80"/>
      </w:pPr>
      <w:r>
        <w:rPr>
          <w:rFonts w:ascii="微軟正黑體" w:hAnsi="微軟正黑體" w:eastAsia="微軟正黑體"/>
          <w:sz w:val="22"/>
        </w:rPr>
        <w:t>於動態圖譜（DyGAT）構建流程中導入 Benjamini-Hochberg FDR 多重比較校正，處理大規模成對協整檢定之偽陽性問題。</w:t>
      </w:r>
    </w:p>
    <w:p>
      <w:pPr>
        <w:pStyle w:val="ListBullet"/>
        <w:spacing w:after="80"/>
      </w:pPr>
      <w:r>
        <w:rPr>
          <w:rFonts w:ascii="微軟正黑體" w:hAnsi="微軟正黑體" w:eastAsia="微軟正黑體"/>
          <w:sz w:val="22"/>
        </w:rPr>
        <w:t>於超參數尋優流程中導入 Deflated Sharpe Ratio，校正多重回測試驗下的夏普比率選擇偏誤。</w:t>
      </w:r>
    </w:p>
    <w:p>
      <w:pPr>
        <w:pStyle w:val="ListBullet"/>
        <w:spacing w:after="80"/>
      </w:pPr>
      <w:r>
        <w:rPr>
          <w:rFonts w:ascii="微軟正黑體" w:hAnsi="微軟正黑體" w:eastAsia="微軟正黑體"/>
          <w:sz w:val="22"/>
        </w:rPr>
        <w:t>設計四層次、四模組的消融實驗框架（特徵層 HAC-ICIR、模型層 OOF AUC、策略層 HAC／HAC-DM 檢定、歷史危機壓力測試），完整拆解系統各模組之獨立貢獻。</w:t>
      </w:r>
    </w:p>
    <w:p>
      <w:pPr>
        <w:pStyle w:val="Heading2"/>
        <w:spacing w:before="320" w:after="160"/>
      </w:pPr>
      <w:r>
        <w:rPr>
          <w:rFonts w:ascii="微軟正黑體" w:hAnsi="微軟正黑體" w:eastAsia="微軟正黑體"/>
          <w:b/>
          <w:color w:val="2E5395"/>
          <w:sz w:val="26"/>
        </w:rPr>
        <w:t>1.5　論文架構</w:t>
      </w:r>
    </w:p>
    <w:p>
      <w:pPr>
        <w:spacing w:after="160" w:line="300" w:lineRule="exact"/>
        <w:jc w:val="both"/>
      </w:pPr>
      <w:r>
        <w:rPr>
          <w:rFonts w:ascii="微軟正黑體" w:hAnsi="微軟正黑體" w:eastAsia="微軟正黑體"/>
          <w:sz w:val="22"/>
        </w:rPr>
        <w:t>本論文共分六章：第二章回顧統計套利、機器學習、深度學習表徵學習、強化學習與量化研究統計方法論等相關文獻；第三章說明系統整體架構與各模組設計；第四章詳述本研究採用之統計驗證方法論；第五章呈現實證結果並逐一討論四項消融實驗；第六章總結研究結論、方法論貢獻、限制與未來工作方向。</w:t>
      </w:r>
    </w:p>
    <w:p>
      <w:r>
        <w:br w:type="page"/>
      </w:r>
    </w:p>
    <w:p>
      <w:pPr>
        <w:pStyle w:val="Heading1"/>
        <w:spacing w:before="480" w:after="240"/>
      </w:pPr>
      <w:r>
        <w:rPr>
          <w:rFonts w:ascii="微軟正黑體" w:hAnsi="微軟正黑體" w:eastAsia="微軟正黑體"/>
          <w:b/>
          <w:color w:val="1F3864"/>
          <w:sz w:val="32"/>
        </w:rPr>
        <w:t>第二章　文獻回顧</w:t>
      </w:r>
    </w:p>
    <w:p>
      <w:pPr>
        <w:pStyle w:val="Heading2"/>
        <w:spacing w:before="320" w:after="160"/>
      </w:pPr>
      <w:r>
        <w:rPr>
          <w:rFonts w:ascii="微軟正黑體" w:hAnsi="微軟正黑體" w:eastAsia="微軟正黑體"/>
          <w:b/>
          <w:color w:val="2E5395"/>
          <w:sz w:val="26"/>
        </w:rPr>
        <w:t>2.1　統計套利與均值回歸方法</w:t>
      </w:r>
    </w:p>
    <w:p>
      <w:pPr>
        <w:pStyle w:val="ListBullet"/>
        <w:spacing w:after="80"/>
      </w:pPr>
      <w:r>
        <w:rPr>
          <w:rFonts w:ascii="微軟正黑體" w:hAnsi="微軟正黑體" w:eastAsia="微軟正黑體"/>
          <w:sz w:val="22"/>
        </w:rPr>
        <w:t>Spearman 秩相關係數之定義、適用時機與相對於 Pearson 相關係數之優勢（可捕捉非線性但單調之關聯）。</w:t>
      </w:r>
    </w:p>
    <w:p>
      <w:pPr>
        <w:pStyle w:val="ListBullet"/>
        <w:spacing w:after="80"/>
      </w:pPr>
      <w:r>
        <w:rPr>
          <w:rFonts w:ascii="微軟正黑體" w:hAnsi="微軟正黑體" w:eastAsia="微軟正黑體"/>
          <w:sz w:val="22"/>
        </w:rPr>
        <w:t>Engle &amp; Granger（1987）兩步法協整檢定：先以 OLS 估計長期均衡關係，再以 ADF 檢定殘差平穩性，判斷價差是否具均值回歸性質。</w:t>
      </w:r>
    </w:p>
    <w:p>
      <w:pPr>
        <w:pStyle w:val="ListBullet"/>
        <w:spacing w:after="80"/>
      </w:pPr>
      <w:r>
        <w:rPr>
          <w:rFonts w:ascii="微軟正黑體" w:hAnsi="微軟正黑體" w:eastAsia="微軟正黑體"/>
          <w:sz w:val="22"/>
        </w:rPr>
        <w:t>配對交易（Pairs Trading）文獻回顧（如 Gatev, Goetzmann &amp; Rouwenhorst 等經典研究）。</w:t>
      </w:r>
    </w:p>
    <w:p>
      <w:pPr>
        <w:pStyle w:val="ListBullet"/>
        <w:spacing w:after="80"/>
      </w:pPr>
      <w:r>
        <w:rPr>
          <w:rFonts w:ascii="微軟正黑體" w:hAnsi="微軟正黑體" w:eastAsia="微軟正黑體"/>
          <w:sz w:val="22"/>
        </w:rPr>
        <w:t>本研究初期以上述方法建立之配對交易雛型，及其與後續章節方法論之對應關係。</w:t>
      </w:r>
    </w:p>
    <w:p>
      <w:pPr>
        <w:pStyle w:val="Heading2"/>
        <w:spacing w:before="320" w:after="160"/>
      </w:pPr>
      <w:r>
        <w:rPr>
          <w:rFonts w:ascii="微軟正黑體" w:hAnsi="微軟正黑體" w:eastAsia="微軟正黑體"/>
          <w:b/>
          <w:color w:val="2E5395"/>
          <w:sz w:val="26"/>
        </w:rPr>
        <w:t>2.2　機器學習於金融資產預測之應用</w:t>
      </w:r>
    </w:p>
    <w:p>
      <w:pPr>
        <w:pStyle w:val="ListBullet"/>
        <w:spacing w:after="80"/>
      </w:pPr>
      <w:r>
        <w:rPr>
          <w:rFonts w:ascii="微軟正黑體" w:hAnsi="微軟正黑體" w:eastAsia="微軟正黑體"/>
          <w:sz w:val="22"/>
        </w:rPr>
        <w:t>GBDT／LogitBoost／RUSBoost 等集成樹方法之原理與於不平衡分類問題（如崩盤事件預測）之應用。</w:t>
      </w:r>
    </w:p>
    <w:p>
      <w:pPr>
        <w:pStyle w:val="ListBullet"/>
        <w:spacing w:after="80"/>
      </w:pPr>
      <w:r>
        <w:rPr>
          <w:rFonts w:ascii="微軟正黑體" w:hAnsi="微軟正黑體" w:eastAsia="微軟正黑體"/>
          <w:sz w:val="22"/>
        </w:rPr>
        <w:t>橫截面選股（Cross-Sectional Ranking）與「Beat-the-Median」標籤設計之相關文獻。</w:t>
      </w:r>
    </w:p>
    <w:p>
      <w:pPr>
        <w:pStyle w:val="ListBullet"/>
        <w:spacing w:after="80"/>
      </w:pPr>
      <w:r>
        <w:rPr>
          <w:rFonts w:ascii="微軟正黑體" w:hAnsi="微軟正黑體" w:eastAsia="微軟正黑體"/>
          <w:sz w:val="22"/>
        </w:rPr>
        <w:t>SHAP（SHapley Additive exPlanations, Lundberg &amp; Lee, 2017）可解釋性方法於金融模型之應用。</w:t>
      </w:r>
    </w:p>
    <w:p>
      <w:pPr>
        <w:pStyle w:val="Heading2"/>
        <w:spacing w:before="320" w:after="160"/>
      </w:pPr>
      <w:r>
        <w:rPr>
          <w:rFonts w:ascii="微軟正黑體" w:hAnsi="微軟正黑體" w:eastAsia="微軟正黑體"/>
          <w:b/>
          <w:color w:val="2E5395"/>
          <w:sz w:val="26"/>
        </w:rPr>
        <w:t>2.3　深度學習序列與圖表徵學習</w:t>
      </w:r>
    </w:p>
    <w:p>
      <w:pPr>
        <w:pStyle w:val="ListBullet"/>
        <w:spacing w:after="80"/>
      </w:pPr>
      <w:r>
        <w:rPr>
          <w:rFonts w:ascii="微軟正黑體" w:hAnsi="微軟正黑體" w:eastAsia="微軟正黑體"/>
          <w:sz w:val="22"/>
        </w:rPr>
        <w:t>LSTM 與 Self-Attention／Transformer 架構於金融時間序列預測之應用文獻。</w:t>
      </w:r>
    </w:p>
    <w:p>
      <w:pPr>
        <w:pStyle w:val="ListBullet"/>
        <w:spacing w:after="80"/>
      </w:pPr>
      <w:r>
        <w:rPr>
          <w:rFonts w:ascii="微軟正黑體" w:hAnsi="微軟正黑體" w:eastAsia="微軟正黑體"/>
          <w:sz w:val="22"/>
        </w:rPr>
        <w:t>圖神經網路（GCN、GAT）於股票關聯建模之應用，如 Relational Stock Ranking 相關研究，說明動態圖／時變圖譜構建方法的發展。</w:t>
      </w:r>
    </w:p>
    <w:p>
      <w:pPr>
        <w:pStyle w:val="ListBullet"/>
        <w:spacing w:after="80"/>
      </w:pPr>
      <w:r>
        <w:rPr>
          <w:rFonts w:ascii="微軟正黑體" w:hAnsi="微軟正黑體" w:eastAsia="微軟正黑體"/>
          <w:sz w:val="22"/>
        </w:rPr>
        <w:t>本研究 DyGAT（Dynamic Graph Attention）模組與上述文獻的技術對應與差異（本研究採 Masked Attention 與凸組合拓撲融合、以協整檢定定義圖邊而非單純相關係數）。</w:t>
      </w:r>
    </w:p>
    <w:p>
      <w:pPr>
        <w:pStyle w:val="Heading2"/>
        <w:spacing w:before="320" w:after="160"/>
      </w:pPr>
      <w:r>
        <w:rPr>
          <w:rFonts w:ascii="微軟正黑體" w:hAnsi="微軟正黑體" w:eastAsia="微軟正黑體"/>
          <w:b/>
          <w:color w:val="2E5395"/>
          <w:sz w:val="26"/>
        </w:rPr>
        <w:t>2.4　向量量化表徵學習</w:t>
      </w:r>
    </w:p>
    <w:p>
      <w:pPr>
        <w:pStyle w:val="ListBullet"/>
        <w:spacing w:after="80"/>
      </w:pPr>
      <w:r>
        <w:rPr>
          <w:rFonts w:ascii="微軟正黑體" w:hAnsi="微軟正黑體" w:eastAsia="微軟正黑體"/>
          <w:sz w:val="22"/>
        </w:rPr>
        <w:t>VQ-VAE（van den Oord, Vinyals &amp; Kavukcuoglu, 2017）原理：Encoder–Codebook–Decoder 架構與 Straight-Through Estimator 梯度穿透機制。</w:t>
      </w:r>
    </w:p>
    <w:p>
      <w:pPr>
        <w:pStyle w:val="ListBullet"/>
        <w:spacing w:after="80"/>
      </w:pPr>
      <w:r>
        <w:rPr>
          <w:rFonts w:ascii="微軟正黑體" w:hAnsi="微軟正黑體" w:eastAsia="微軟正黑體"/>
          <w:sz w:val="22"/>
        </w:rPr>
        <w:t>EMA Codebook 更新機制與 Codebook Collapse（字典坍縮／死向量）問題之相關文獻與解決方案。</w:t>
      </w:r>
    </w:p>
    <w:p>
      <w:pPr>
        <w:pStyle w:val="Heading2"/>
        <w:spacing w:before="320" w:after="160"/>
      </w:pPr>
      <w:r>
        <w:rPr>
          <w:rFonts w:ascii="微軟正黑體" w:hAnsi="微軟正黑體" w:eastAsia="微軟正黑體"/>
          <w:b/>
          <w:color w:val="2E5395"/>
          <w:sz w:val="26"/>
        </w:rPr>
        <w:t>2.5　強化學習於投資組合管理</w:t>
      </w:r>
    </w:p>
    <w:p>
      <w:pPr>
        <w:pStyle w:val="ListBullet"/>
        <w:spacing w:after="80"/>
      </w:pPr>
      <w:r>
        <w:rPr>
          <w:rFonts w:ascii="微軟正黑體" w:hAnsi="微軟正黑體" w:eastAsia="微軟正黑體"/>
          <w:sz w:val="22"/>
        </w:rPr>
        <w:t>PPO（Proximal Policy Optimization, Schulman et al., 2017）演算法原理與 Clipped Surrogate Objective 設計。</w:t>
      </w:r>
    </w:p>
    <w:p>
      <w:pPr>
        <w:pStyle w:val="ListBullet"/>
        <w:spacing w:after="80"/>
      </w:pPr>
      <w:r>
        <w:rPr>
          <w:rFonts w:ascii="微軟正黑體" w:hAnsi="微軟正黑體" w:eastAsia="微軟正黑體"/>
          <w:sz w:val="22"/>
        </w:rPr>
        <w:t>強化學習於資產配置（Deep Portfolio Management）之應用文獻回顧。</w:t>
      </w:r>
    </w:p>
    <w:p>
      <w:pPr>
        <w:pStyle w:val="ListBullet"/>
        <w:spacing w:after="80"/>
      </w:pPr>
      <w:r>
        <w:rPr>
          <w:rFonts w:ascii="微軟正黑體" w:hAnsi="微軟正黑體" w:eastAsia="微軟正黑體"/>
          <w:sz w:val="22"/>
        </w:rPr>
        <w:t>多代理人集成／專家混合（Mixture-of-Experts）決策路由概念於投資決策系統之應用。</w:t>
      </w:r>
    </w:p>
    <w:p>
      <w:pPr>
        <w:pStyle w:val="Heading2"/>
        <w:spacing w:before="320" w:after="160"/>
      </w:pPr>
      <w:r>
        <w:rPr>
          <w:rFonts w:ascii="微軟正黑體" w:hAnsi="微軟正黑體" w:eastAsia="微軟正黑體"/>
          <w:b/>
          <w:color w:val="2E5395"/>
          <w:sz w:val="26"/>
        </w:rPr>
        <w:t>2.6　量化研究的統計陷阱與嚴謹驗證方法論（本論文方法論定位核心文獻）</w:t>
      </w:r>
    </w:p>
    <w:p>
      <w:pPr>
        <w:pStyle w:val="ListBullet"/>
        <w:spacing w:after="80"/>
      </w:pPr>
      <w:r>
        <w:rPr>
          <w:rFonts w:ascii="微軟正黑體" w:hAnsi="微軟正黑體" w:eastAsia="微軟正黑體"/>
          <w:sz w:val="22"/>
        </w:rPr>
        <w:t>資料窺探與未來函數偏誤（Data Snooping / Look-ahead Bias）：López de Prado, Advances in Financial Machine Learning（2018）。</w:t>
      </w:r>
    </w:p>
    <w:p>
      <w:pPr>
        <w:pStyle w:val="ListBullet"/>
        <w:spacing w:after="80"/>
      </w:pPr>
      <w:r>
        <w:rPr>
          <w:rFonts w:ascii="微軟正黑體" w:hAnsi="微軟正黑體" w:eastAsia="微軟正黑體"/>
          <w:sz w:val="22"/>
        </w:rPr>
        <w:t>Purged &amp; Embargoed 時序交叉驗證方法論。</w:t>
      </w:r>
    </w:p>
    <w:p>
      <w:pPr>
        <w:pStyle w:val="ListBullet"/>
        <w:spacing w:after="80"/>
      </w:pPr>
      <w:r>
        <w:rPr>
          <w:rFonts w:ascii="微軟正黑體" w:hAnsi="微軟正黑體" w:eastAsia="微軟正黑體"/>
          <w:sz w:val="22"/>
        </w:rPr>
        <w:t>Newey &amp; West（1987）異方差自相關一致（HAC）標準誤估計量。</w:t>
      </w:r>
    </w:p>
    <w:p>
      <w:pPr>
        <w:pStyle w:val="ListBullet"/>
        <w:spacing w:after="80"/>
      </w:pPr>
      <w:r>
        <w:rPr>
          <w:rFonts w:ascii="微軟正黑體" w:hAnsi="微軟正黑體" w:eastAsia="微軟正黑體"/>
          <w:sz w:val="22"/>
        </w:rPr>
        <w:t>Diebold &amp; Mariano（1995）預測準確度比較檢定。</w:t>
      </w:r>
    </w:p>
    <w:p>
      <w:pPr>
        <w:pStyle w:val="ListBullet"/>
        <w:spacing w:after="80"/>
      </w:pPr>
      <w:r>
        <w:rPr>
          <w:rFonts w:ascii="微軟正黑體" w:hAnsi="微軟正黑體" w:eastAsia="微軟正黑體"/>
          <w:sz w:val="22"/>
        </w:rPr>
        <w:t>Benjamini &amp; Hochberg（1995）錯誤發現率（False Discovery Rate）多重比較校正程序。</w:t>
      </w:r>
    </w:p>
    <w:p>
      <w:pPr>
        <w:pStyle w:val="ListBullet"/>
        <w:spacing w:after="80"/>
      </w:pPr>
      <w:r>
        <w:rPr>
          <w:rFonts w:ascii="微軟正黑體" w:hAnsi="微軟正黑體" w:eastAsia="微軟正黑體"/>
          <w:sz w:val="22"/>
        </w:rPr>
        <w:t>Bailey &amp; López de Prado（2014）Deflated Sharpe Ratio：多重回測試驗下夏普比率之選擇偏誤校正方法。</w:t>
      </w:r>
    </w:p>
    <w:p>
      <w:pPr>
        <w:pStyle w:val="Heading2"/>
        <w:spacing w:before="320" w:after="160"/>
      </w:pPr>
      <w:r>
        <w:rPr>
          <w:rFonts w:ascii="微軟正黑體" w:hAnsi="微軟正黑體" w:eastAsia="微軟正黑體"/>
          <w:b/>
          <w:color w:val="2E5395"/>
          <w:sz w:val="26"/>
        </w:rPr>
        <w:t>2.7　文獻回顧小結與本研究定位</w:t>
      </w:r>
    </w:p>
    <w:p>
      <w:pPr>
        <w:spacing w:after="160" w:line="300" w:lineRule="exact"/>
        <w:jc w:val="both"/>
      </w:pPr>
      <w:r>
        <w:rPr>
          <w:rFonts w:ascii="微軟正黑體" w:hAnsi="微軟正黑體" w:eastAsia="微軟正黑體"/>
          <w:sz w:val="22"/>
        </w:rPr>
        <w:t>綜整上述文獻可見，量化投資研究存在「模型複雜度」與「統計驗證嚴謹度」兩條同等重要卻常被失衡對待的發展主軸。本研究站在此一交會點：技術上整合統計套利、機器學習、深度表徵學習與強化學習之多模組架構，方法論上則緊扣量化金融研究誠信（research integrity）議題，將本論文定位為「方法論建構與驗證型」研究，而非「策略績效發表型」研究。</w:t>
      </w:r>
    </w:p>
    <w:p>
      <w:r>
        <w:br w:type="page"/>
      </w:r>
    </w:p>
    <w:p>
      <w:pPr>
        <w:pStyle w:val="Heading1"/>
        <w:spacing w:before="480" w:after="240"/>
      </w:pPr>
      <w:r>
        <w:rPr>
          <w:rFonts w:ascii="微軟正黑體" w:hAnsi="微軟正黑體" w:eastAsia="微軟正黑體"/>
          <w:b/>
          <w:color w:val="1F3864"/>
          <w:sz w:val="32"/>
        </w:rPr>
        <w:t>第三章　系統架構與研究方法</w:t>
      </w:r>
    </w:p>
    <w:p>
      <w:pPr>
        <w:pStyle w:val="Heading2"/>
        <w:spacing w:before="320" w:after="160"/>
      </w:pPr>
      <w:r>
        <w:rPr>
          <w:rFonts w:ascii="微軟正黑體" w:hAnsi="微軟正黑體" w:eastAsia="微軟正黑體"/>
          <w:b/>
          <w:color w:val="2E5395"/>
          <w:sz w:val="26"/>
        </w:rPr>
        <w:t>3.1　系統總覽</w:t>
      </w:r>
    </w:p>
    <w:p>
      <w:pPr>
        <w:spacing w:after="200"/>
        <w:shd w:fill="FBEEC9"/>
      </w:pPr>
      <w:r>
        <w:rPr>
          <w:rFonts w:ascii="微軟正黑體" w:hAnsi="微軟正黑體" w:eastAsia="微軟正黑體"/>
          <w:i/>
          <w:color w:val="946000"/>
          <w:sz w:val="20"/>
        </w:rPr>
        <w:t>【圖 3-1：系統整體管線架構圖，待補——建議繪製資料流向圖：Python 雙爬蟲 → Parquet 資料湖 → DataFetcher 矩陣映射 → 特徵工程 → VQ-VAE 降噪 → 雙軌表徵萃取 → GBDT 風險預測 → 三軌 PPO 決策 → 回測撮合引擎】</w:t>
      </w:r>
    </w:p>
    <w:p>
      <w:pPr>
        <w:spacing w:after="160" w:line="300" w:lineRule="exact"/>
        <w:jc w:val="both"/>
      </w:pPr>
      <w:r>
        <w:rPr>
          <w:rFonts w:ascii="微軟正黑體" w:hAnsi="微軟正黑體" w:eastAsia="微軟正黑體"/>
          <w:sz w:val="22"/>
        </w:rPr>
        <w:t>本研究系統（以下稱 MARI 系統）採模組化管線設計，各階段之輸出以固定介面（矩陣維度、Point-in-Time 對齊時間軸）銜接下一階段，便於獨立替換與消融實驗。以下各節依資料流順序說明各模組設計。</w:t>
      </w:r>
    </w:p>
    <w:p>
      <w:pPr>
        <w:pStyle w:val="Heading2"/>
        <w:spacing w:before="320" w:after="160"/>
      </w:pPr>
      <w:r>
        <w:rPr>
          <w:rFonts w:ascii="微軟正黑體" w:hAnsi="微軟正黑體" w:eastAsia="微軟正黑體"/>
          <w:b/>
          <w:color w:val="2E5395"/>
          <w:sz w:val="26"/>
        </w:rPr>
        <w:t>3.2　資料層：Point-in-Time 大宇宙建構</w:t>
      </w:r>
    </w:p>
    <w:p>
      <w:pPr>
        <w:spacing w:after="160" w:line="300" w:lineRule="exact"/>
        <w:jc w:val="both"/>
      </w:pPr>
      <w:r>
        <w:rPr>
          <w:rFonts w:ascii="微軟正黑體" w:hAnsi="微軟正黑體" w:eastAsia="微軟正黑體"/>
          <w:sz w:val="22"/>
        </w:rPr>
        <w:t>為避免存活者偏差，本系統以動態解析維基百科 S&amp;P 500 現行成分股表與歷史變更紀錄表之方式（hybrid_crawler.py），聯集建構涵蓋歷史增減標的之「True PiT 大宇宙」，並逆向工程還原每一交易日之真實成分股資格（IsConstituent 標記）。DataFetcher.m 模組則以 SPY 存在之交易日作為絕對交易日曆錨點，透過 parfor 平行化將長表數據極速映射為 [交易日 × 標的] 之開盤價、收盤價、最高價、最低價、成交量五維矩陣，並執行物理層級的異常值斷言（報價邏輯異常、真實停牌辨識、排除總經指數之零成交量誤判）。fred_crawler.py 另行擷取 FRED 總體經濟領先指標（VIX、殖利率曲線利差、高收益債信用利差、失業率），並依各指標實際公告延遲（lag_days）進行 Point-in-Time 校正，避免使用「當下尚未公布」的總經數據。</w:t>
      </w:r>
    </w:p>
    <w:p>
      <w:pPr>
        <w:spacing w:after="200"/>
        <w:shd w:fill="FBEEC9"/>
      </w:pPr>
      <w:r>
        <w:rPr>
          <w:rFonts w:ascii="微軟正黑體" w:hAnsi="微軟正黑體" w:eastAsia="微軟正黑體"/>
          <w:i/>
          <w:color w:val="946000"/>
          <w:sz w:val="20"/>
        </w:rPr>
        <w:t>【表 3-1：大宇宙標的統計摘要，待補——標的總數、Equity／避險資產／總經指標分類、歷史涵蓋起訖日期、平均每日有效交易標的數】</w:t>
      </w:r>
    </w:p>
    <w:p>
      <w:pPr>
        <w:pStyle w:val="Heading2"/>
        <w:spacing w:before="320" w:after="160"/>
      </w:pPr>
      <w:r>
        <w:rPr>
          <w:rFonts w:ascii="微軟正黑體" w:hAnsi="微軟正黑體" w:eastAsia="微軟正黑體"/>
          <w:b/>
          <w:color w:val="2E5395"/>
          <w:sz w:val="26"/>
        </w:rPr>
        <w:t>3.3　特徵工程層</w:t>
      </w:r>
    </w:p>
    <w:p>
      <w:pPr>
        <w:spacing w:after="160" w:line="300" w:lineRule="exact"/>
        <w:jc w:val="both"/>
      </w:pPr>
      <w:r>
        <w:rPr>
          <w:rFonts w:ascii="微軟正黑體" w:hAnsi="微軟正黑體" w:eastAsia="微軟正黑體"/>
          <w:sz w:val="22"/>
        </w:rPr>
        <w:t>特徵工程模組（FeatureEngineer.m）產出每一標的、每一交易日之 28 維節點特徵，包含 3 維相對大盤特徵（Beta、與大盤之滾動相關係數、相對強弱）、15 維個股微觀特徵（動能 R1/R5/R20、20 日波動度、特質波動度、Amihud 流動性衝擊係數、成交量比率、SMA20/SMA60、MACD 柱狀圖、RSI、OBV、高低價差、距 20 日／52 週新高距離），以及 10 維宏觀總經特徵（VIX 代理指標、SPY 中期動能、市場寬度、真實 VIX、波動率風險溢酬、殖利率曲線倒掛、信用利差、10 年期公債殖利率、失業率）。個股層級特徵採橫截面 Z-Score 標準化，宏觀特徵則採 252 日滾動窗口標準化，此設計差異之理由需於本節說明。</w:t>
      </w:r>
    </w:p>
    <w:p>
      <w:pPr>
        <w:pStyle w:val="Heading3"/>
        <w:spacing w:before="240" w:after="120"/>
      </w:pPr>
      <w:r>
        <w:rPr>
          <w:rFonts w:ascii="微軟正黑體" w:hAnsi="微軟正黑體" w:eastAsia="微軟正黑體"/>
          <w:b/>
          <w:color w:val="4472C4"/>
          <w:sz w:val="24"/>
        </w:rPr>
        <w:t>動態共整合圖譜（DyGAT Adjacency）構建</w:t>
      </w:r>
    </w:p>
    <w:p>
      <w:pPr>
        <w:spacing w:after="160" w:line="300" w:lineRule="exact"/>
        <w:jc w:val="both"/>
      </w:pPr>
      <w:r>
        <w:rPr>
          <w:rFonts w:ascii="微軟正黑體" w:hAnsi="微軟正黑體" w:eastAsia="微軟正黑體"/>
          <w:sz w:val="22"/>
        </w:rPr>
        <w:t>本模組亦是統計方法演進的具體體現：以 60 日滾動窗口計算兩兩標的報酬之 Spearman 相關係數作為初步篩選（相關係數 &gt; 0.5），再對通過篩選之候選配對執行 Engle-Granger 兩步法協整檢定，最後以 Benjamini-Hochberg FDR 程序（q=0.05）校正大規模多重比較下的偽陽性邊，僅保留統計上具顯著協整關係之標的配對作為圖神經網路之邊。此設計直接呼應第一章所述之方法論演進脈絡——傳統統計檢定並未被捨棄，而是被整合為深度學習模型輸入結構（圖拓撲）的嚴謹統計篩選層。</w:t>
      </w:r>
    </w:p>
    <w:p>
      <w:pPr>
        <w:pStyle w:val="Heading2"/>
        <w:spacing w:before="320" w:after="160"/>
      </w:pPr>
      <w:r>
        <w:rPr>
          <w:rFonts w:ascii="微軟正黑體" w:hAnsi="微軟正黑體" w:eastAsia="微軟正黑體"/>
          <w:b/>
          <w:color w:val="2E5395"/>
          <w:sz w:val="26"/>
        </w:rPr>
        <w:t>3.4　VQ-VAE 向量量化降噪模組</w:t>
      </w:r>
    </w:p>
    <w:p>
      <w:pPr>
        <w:spacing w:after="160" w:line="300" w:lineRule="exact"/>
        <w:jc w:val="both"/>
      </w:pPr>
      <w:r>
        <w:rPr>
          <w:rFonts w:ascii="微軟正黑體" w:hAnsi="微軟正黑體" w:eastAsia="微軟正黑體"/>
          <w:sz w:val="22"/>
        </w:rPr>
        <w:t>為降低高頻動能特徵（R1、R5、R20）中的市場微觀結構雜訊，本系統採用 VQ-VAE 架構，以 Encoder 將原始特徵壓縮至低維潛在空間，透過可學習編碼簿（Codebook）進行最近鄰離散量化，再由 Decoder 重構回原特徵空間。損失函數由重構損失與承諾損失（Commitment Loss）組成，並以 Straight-Through Estimator（STE）處理離散量化操作不可微分之問題，使梯度得以直通 Encoder。編碼簿更新採指數移動平均（EMA）機制，並設計「死向量喚醒」演算法（結合隨機重新取樣與高斯雜訊注入）防止編碼簿坍縮。為避免未來資訊洩漏，VQ-VAE 僅允許於樣本內（In-Sample）區間訓練，訓練完成後編碼簿即物理凍結（Freeze），樣本外（Out-of-Sample）推論階段禁止任何字典狀態更新。</w:t>
      </w:r>
    </w:p>
    <w:p>
      <w:pPr>
        <w:pStyle w:val="Heading2"/>
        <w:spacing w:before="320" w:after="160"/>
      </w:pPr>
      <w:r>
        <w:rPr>
          <w:rFonts w:ascii="微軟正黑體" w:hAnsi="微軟正黑體" w:eastAsia="微軟正黑體"/>
          <w:b/>
          <w:color w:val="2E5395"/>
          <w:sz w:val="26"/>
        </w:rPr>
        <w:t>3.5　雙軌時空特徵萃取器</w:t>
      </w:r>
    </w:p>
    <w:p>
      <w:pPr>
        <w:spacing w:after="160" w:line="300" w:lineRule="exact"/>
        <w:jc w:val="both"/>
      </w:pPr>
      <w:r>
        <w:rPr>
          <w:rFonts w:ascii="微軟正黑體" w:hAnsi="微軟正黑體" w:eastAsia="微軟正黑體"/>
          <w:sz w:val="22"/>
        </w:rPr>
        <w:t>本系統以兩條獨立網路分別萃取 64 維節點表徵：時序專家（Self-Attention + LSTM + LayerNorm）處理單一標的之歷史序列動態，空間專家（GraphSpatialFusionLayer，結合 Masked Attention 動態圖卷積與可學習凸組合拓撲融合）處理同一時間截面下標的間的關聯結構。訓練目標為輔助之 5 日橫截面 Beat-the-Median 分類任務，並加入 VICReg 風格之變異數保底正則化，防止表徵坍縮。驗證集特別設計為橫跨 2008 金融海嘯、2015–16 修正、2020 COVID 崩盤之 Purged Embargo 多體制驗證集，以檢驗表徵在不同市場體制下的泛化能力，而非僅使用單一時間切分。</w:t>
      </w:r>
    </w:p>
    <w:p>
      <w:pPr>
        <w:pStyle w:val="Heading2"/>
        <w:spacing w:before="320" w:after="160"/>
      </w:pPr>
      <w:r>
        <w:rPr>
          <w:rFonts w:ascii="微軟正黑體" w:hAnsi="微軟正黑體" w:eastAsia="微軟正黑體"/>
          <w:b/>
          <w:color w:val="2E5395"/>
          <w:sz w:val="26"/>
        </w:rPr>
        <w:t>3.6　GBDT 顯性風險預測流</w:t>
      </w:r>
    </w:p>
    <w:p>
      <w:pPr>
        <w:spacing w:after="160" w:line="300" w:lineRule="exact"/>
        <w:jc w:val="both"/>
      </w:pPr>
      <w:r>
        <w:rPr>
          <w:rFonts w:ascii="微軟正黑體" w:hAnsi="微軟正黑體" w:eastAsia="微軟正黑體"/>
          <w:sz w:val="22"/>
        </w:rPr>
        <w:t>本模組以 LogitBoost／RUSBoost 集成樹分別訓練橫截面選股專家（時序表徵、空間表徵雙軌，5 日 Beat-the-Median 標籤）與崩盤護欄專家（10 日累積跌幅超過 5% 標籤）。橫截面選股專家採 Purged Expanding Window 5-Fold 時序交叉驗證（20 日隔離期），並以「原始 18 維未萃取特徵」作為 Baseline 模型，用以檢驗深度表徵是否提供原始特徵之外的額外訊息增益。崩盤護欄專家因正樣本稀少而採正樣本分層時序切分，並以 Bootstrap 重抽樣（n=1000）估計 AUC 之 95% 信賴區間，最終以 Platt Scaling（邏輯迴歸事後校準）將原始機率輸出校準為可解釋之真實機率。</w:t>
      </w:r>
    </w:p>
    <w:p>
      <w:pPr>
        <w:pStyle w:val="Heading2"/>
        <w:spacing w:before="320" w:after="160"/>
      </w:pPr>
      <w:r>
        <w:rPr>
          <w:rFonts w:ascii="微軟正黑體" w:hAnsi="微軟正黑體" w:eastAsia="微軟正黑體"/>
          <w:b/>
          <w:color w:val="2E5395"/>
          <w:sz w:val="26"/>
        </w:rPr>
        <w:t>3.7　三軌 PPO 強化學習決策代理人</w:t>
      </w:r>
    </w:p>
    <w:p>
      <w:pPr>
        <w:spacing w:after="160" w:line="300" w:lineRule="exact"/>
        <w:jc w:val="both"/>
      </w:pPr>
      <w:r>
        <w:rPr>
          <w:rFonts w:ascii="微軟正黑體" w:hAnsi="微軟正黑體" w:eastAsia="微軟正黑體"/>
          <w:sz w:val="22"/>
        </w:rPr>
        <w:t>決策層由三位獨立風險偏好之 PPO 代理人（積極型、平衡型、保守型）組成，各自接收 5 維宏觀狀態（平滑崩盤機率、SPY 中期動能、年化波動度、一年期最大回撤絕對值、當前現金比例），輸出 3 維動作（時序權重、空間權重、目標現金比例），並以 PPO Clipped Surrogate Objective 更新 Actor 網路、以均方誤差更新 Critic 網路。獎勵函數採非對稱 Huber-like 設計，超額報酬為正時線性給予獎勵，小幅虧損線性懲罰，大幅虧損則以平方項加重懲罰並設定上限，另加入已實現波動度懲罰項抑制過度冒險。三軌代理人以差異化之摩擦係數、護欄閾值與學習率區分風險偏好，最終依平滑崩盤機率與市場波動度動態混合三者輸出。</w:t>
      </w:r>
    </w:p>
    <w:p>
      <w:pPr>
        <w:pStyle w:val="Heading2"/>
        <w:spacing w:before="320" w:after="160"/>
      </w:pPr>
      <w:r>
        <w:rPr>
          <w:rFonts w:ascii="微軟正黑體" w:hAnsi="微軟正黑體" w:eastAsia="微軟正黑體"/>
          <w:b/>
          <w:color w:val="2E5395"/>
          <w:sz w:val="26"/>
        </w:rPr>
        <w:t>3.8　貝氏超參數尋優</w:t>
      </w:r>
    </w:p>
    <w:p>
      <w:pPr>
        <w:spacing w:after="160" w:line="300" w:lineRule="exact"/>
        <w:jc w:val="both"/>
      </w:pPr>
      <w:r>
        <w:rPr>
          <w:rFonts w:ascii="微軟正黑體" w:hAnsi="微軟正黑體" w:eastAsia="微軟正黑體"/>
          <w:sz w:val="22"/>
        </w:rPr>
        <w:t>本系統以貝氏最佳化在崩盤護欄閾值、時序／空間專家混合權重、持股集中度（Top-K）三維空間中聯合尋優，目標函數為四個時間子窗口下資訊比率（IR）之「穩健分數」（平均值減 0.5 倍標準差），以避免尋優結果過度依賴單一時間窗口的偶然表現。</w:t>
      </w:r>
    </w:p>
    <w:p>
      <w:pPr>
        <w:pStyle w:val="Heading2"/>
        <w:spacing w:before="320" w:after="160"/>
      </w:pPr>
      <w:r>
        <w:rPr>
          <w:rFonts w:ascii="微軟正黑體" w:hAnsi="微軟正黑體" w:eastAsia="微軟正黑體"/>
          <w:b/>
          <w:color w:val="2E5395"/>
          <w:sz w:val="26"/>
        </w:rPr>
        <w:t>3.9　回測撮合引擎與交易成本模型</w:t>
      </w:r>
    </w:p>
    <w:p>
      <w:pPr>
        <w:spacing w:after="160" w:line="300" w:lineRule="exact"/>
        <w:jc w:val="both"/>
      </w:pPr>
      <w:r>
        <w:rPr>
          <w:rFonts w:ascii="微軟正黑體" w:hAnsi="微軟正黑體" w:eastAsia="微軟正黑體"/>
          <w:sz w:val="22"/>
        </w:rPr>
        <w:t>回測引擎採嚴格 Open-to-Open 撮合機制（決策於 t 日形成，於 t+1 日開盤執行，報酬結算至 t+2 日開盤），並以時間索引邊界斷言防止陣列溢位。交易成本模型結合固定手續費與日頻波動度動態滑價係數，另設計慣性摩擦過濾機制（換手幅度低於閾值時維持原部位），降低因訊號雜訊導致的過度交易。</w:t>
      </w:r>
    </w:p>
    <w:p>
      <w:r>
        <w:br w:type="page"/>
      </w:r>
    </w:p>
    <w:p>
      <w:pPr>
        <w:pStyle w:val="Heading1"/>
        <w:spacing w:before="480" w:after="240"/>
      </w:pPr>
      <w:r>
        <w:rPr>
          <w:rFonts w:ascii="微軟正黑體" w:hAnsi="微軟正黑體" w:eastAsia="微軟正黑體"/>
          <w:b/>
          <w:color w:val="1F3864"/>
          <w:sz w:val="32"/>
        </w:rPr>
        <w:t>第四章　統計驗證方法論</w:t>
      </w:r>
    </w:p>
    <w:p>
      <w:pPr>
        <w:spacing w:after="160" w:line="300" w:lineRule="exact"/>
        <w:jc w:val="both"/>
      </w:pPr>
      <w:r>
        <w:rPr>
          <w:rFonts w:ascii="微軟正黑體" w:hAnsi="微軟正黑體" w:eastAsia="微軟正黑體"/>
          <w:sz w:val="22"/>
        </w:rPr>
        <w:t>本章為本論文核心方法論貢獻所在。相較於一般僅呈現報酬曲線的專題研究，本研究於資料、特徵、模型、策略四個層次分別導入對應的統計防禦與檢定機制，逐節說明如下。</w:t>
      </w:r>
    </w:p>
    <w:p>
      <w:pPr>
        <w:pStyle w:val="Heading2"/>
        <w:spacing w:before="320" w:after="160"/>
      </w:pPr>
      <w:r>
        <w:rPr>
          <w:rFonts w:ascii="微軟正黑體" w:hAnsi="微軟正黑體" w:eastAsia="微軟正黑體"/>
          <w:b/>
          <w:color w:val="2E5395"/>
          <w:sz w:val="26"/>
        </w:rPr>
        <w:t>4.1　Point-in-Time 防洩漏設計原則</w:t>
      </w:r>
    </w:p>
    <w:p>
      <w:pPr>
        <w:spacing w:after="160" w:line="300" w:lineRule="exact"/>
        <w:jc w:val="both"/>
      </w:pPr>
      <w:r>
        <w:rPr>
          <w:rFonts w:ascii="微軟正黑體" w:hAnsi="微軟正黑體" w:eastAsia="微軟正黑體"/>
          <w:sz w:val="22"/>
        </w:rPr>
        <w:t>彙整全系統中所有防止未來函數（look-ahead bias）與資料洩漏之設計點，以下表對照風險點與對應防禦機制：</w:t>
      </w:r>
    </w:p>
    <w:tbl>
      <w:tblPr>
        <w:tblStyle w:val="TableGrid"/>
        <w:tblW w:type="auto" w:w="0"/>
        <w:tblLook w:firstColumn="1" w:firstRow="1" w:lastColumn="0" w:lastRow="0" w:noHBand="0" w:noVBand="1" w:val="04A0"/>
      </w:tblPr>
      <w:tblGrid>
        <w:gridCol w:w="4320"/>
        <w:gridCol w:w="4320"/>
      </w:tblGrid>
      <w:tr>
        <w:tc>
          <w:tcPr>
            <w:tcW w:type="dxa" w:w="4200"/>
            <w:shd w:fill="1F3864"/>
            <w:vAlign w:val="center"/>
          </w:tcPr>
          <w:p>
            <w:pPr>
              <w:jc w:val="center"/>
            </w:pPr>
            <w:r>
              <w:rPr>
                <w:rFonts w:ascii="微軟正黑體" w:hAnsi="微軟正黑體" w:eastAsia="微軟正黑體"/>
                <w:b/>
                <w:color w:val="FFFFFF"/>
                <w:sz w:val="19"/>
              </w:rPr>
              <w:t>資料洩漏風險點</w:t>
            </w:r>
          </w:p>
        </w:tc>
        <w:tc>
          <w:tcPr>
            <w:tcW w:type="dxa" w:w="5000"/>
            <w:shd w:fill="1F3864"/>
            <w:vAlign w:val="center"/>
          </w:tcPr>
          <w:p>
            <w:pPr>
              <w:jc w:val="center"/>
            </w:pPr>
            <w:r>
              <w:rPr>
                <w:rFonts w:ascii="微軟正黑體" w:hAnsi="微軟正黑體" w:eastAsia="微軟正黑體"/>
                <w:b/>
                <w:color w:val="FFFFFF"/>
                <w:sz w:val="19"/>
              </w:rPr>
              <w:t>本系統對應防禦機制</w:t>
            </w:r>
          </w:p>
        </w:tc>
      </w:tr>
      <w:tr>
        <w:tc>
          <w:tcPr>
            <w:tcW w:type="dxa" w:w="4200"/>
            <w:vAlign w:val="center"/>
          </w:tcPr>
          <w:p>
            <w:r>
              <w:rPr>
                <w:rFonts w:ascii="微軟正黑體" w:hAnsi="微軟正黑體" w:eastAsia="微軟正黑體"/>
                <w:sz w:val="19"/>
              </w:rPr>
              <w:t>存活者偏差（僅用現存成分股回測）</w:t>
            </w:r>
          </w:p>
        </w:tc>
        <w:tc>
          <w:tcPr>
            <w:tcW w:type="dxa" w:w="5000"/>
            <w:vAlign w:val="center"/>
          </w:tcPr>
          <w:p>
            <w:r>
              <w:rPr>
                <w:rFonts w:ascii="微軟正黑體" w:hAnsi="微軟正黑體" w:eastAsia="微軟正黑體"/>
                <w:sz w:val="19"/>
              </w:rPr>
              <w:t>True PiT 歷史成分股逆向重建（hybrid_crawler.py）</w:t>
            </w:r>
          </w:p>
        </w:tc>
      </w:tr>
      <w:tr>
        <w:tc>
          <w:tcPr>
            <w:tcW w:type="dxa" w:w="4200"/>
            <w:vAlign w:val="center"/>
          </w:tcPr>
          <w:p>
            <w:r>
              <w:rPr>
                <w:rFonts w:ascii="微軟正黑體" w:hAnsi="微軟正黑體" w:eastAsia="微軟正黑體"/>
                <w:sz w:val="19"/>
              </w:rPr>
              <w:t>特徵標準化使用未來資訊</w:t>
            </w:r>
          </w:p>
        </w:tc>
        <w:tc>
          <w:tcPr>
            <w:tcW w:type="dxa" w:w="5000"/>
            <w:vAlign w:val="center"/>
          </w:tcPr>
          <w:p>
            <w:r>
              <w:rPr>
                <w:rFonts w:ascii="微軟正黑體" w:hAnsi="微軟正黑體" w:eastAsia="微軟正黑體"/>
                <w:sz w:val="19"/>
              </w:rPr>
              <w:t>橫截面 Z-Score 逐日獨立計算；宏觀特徵僅用滾動歷史窗口</w:t>
            </w:r>
          </w:p>
        </w:tc>
      </w:tr>
      <w:tr>
        <w:tc>
          <w:tcPr>
            <w:tcW w:type="dxa" w:w="4200"/>
            <w:vAlign w:val="center"/>
          </w:tcPr>
          <w:p>
            <w:r>
              <w:rPr>
                <w:rFonts w:ascii="微軟正黑體" w:hAnsi="微軟正黑體" w:eastAsia="微軟正黑體"/>
                <w:sz w:val="19"/>
              </w:rPr>
              <w:t>VQ-VAE 編碼簿於 OOS 期間持續學習</w:t>
            </w:r>
          </w:p>
        </w:tc>
        <w:tc>
          <w:tcPr>
            <w:tcW w:type="dxa" w:w="5000"/>
            <w:vAlign w:val="center"/>
          </w:tcPr>
          <w:p>
            <w:r>
              <w:rPr>
                <w:rFonts w:ascii="微軟正黑體" w:hAnsi="微軟正黑體" w:eastAsia="微軟正黑體"/>
                <w:sz w:val="19"/>
              </w:rPr>
              <w:t>訓練後物理凍結（Freeze），OOS 推論禁止字典更新</w:t>
            </w:r>
          </w:p>
        </w:tc>
      </w:tr>
      <w:tr>
        <w:tc>
          <w:tcPr>
            <w:tcW w:type="dxa" w:w="4200"/>
            <w:vAlign w:val="center"/>
          </w:tcPr>
          <w:p>
            <w:r>
              <w:rPr>
                <w:rFonts w:ascii="微軟正黑體" w:hAnsi="微軟正黑體" w:eastAsia="微軟正黑體"/>
                <w:sz w:val="19"/>
              </w:rPr>
              <w:t>特徵閘門權重使用當日或未來 IC</w:t>
            </w:r>
          </w:p>
        </w:tc>
        <w:tc>
          <w:tcPr>
            <w:tcW w:type="dxa" w:w="5000"/>
            <w:vAlign w:val="center"/>
          </w:tcPr>
          <w:p>
            <w:r>
              <w:rPr>
                <w:rFonts w:ascii="微軟正黑體" w:hAnsi="微軟正黑體" w:eastAsia="微軟正黑體"/>
                <w:sz w:val="19"/>
              </w:rPr>
              <w:t>零洩漏時間平移：t 日權重僅用 t-60 至 t-1 日之歷史 IC</w:t>
            </w:r>
          </w:p>
        </w:tc>
      </w:tr>
      <w:tr>
        <w:tc>
          <w:tcPr>
            <w:tcW w:type="dxa" w:w="4200"/>
            <w:vAlign w:val="center"/>
          </w:tcPr>
          <w:p>
            <w:r>
              <w:rPr>
                <w:rFonts w:ascii="微軟正黑體" w:hAnsi="微軟正黑體" w:eastAsia="微軟正黑體"/>
                <w:sz w:val="19"/>
              </w:rPr>
              <w:t>GBDT 訓練集與驗證集標籤時間重疊</w:t>
            </w:r>
          </w:p>
        </w:tc>
        <w:tc>
          <w:tcPr>
            <w:tcW w:type="dxa" w:w="5000"/>
            <w:vAlign w:val="center"/>
          </w:tcPr>
          <w:p>
            <w:r>
              <w:rPr>
                <w:rFonts w:ascii="微軟正黑體" w:hAnsi="微軟正黑體" w:eastAsia="微軟正黑體"/>
                <w:sz w:val="19"/>
              </w:rPr>
              <w:t>Purged Expanding Window + 20 日 Embargo 隔離期</w:t>
            </w:r>
          </w:p>
        </w:tc>
      </w:tr>
      <w:tr>
        <w:tc>
          <w:tcPr>
            <w:tcW w:type="dxa" w:w="4200"/>
            <w:vAlign w:val="center"/>
          </w:tcPr>
          <w:p>
            <w:r>
              <w:rPr>
                <w:rFonts w:ascii="微軟正黑體" w:hAnsi="微軟正黑體" w:eastAsia="微軟正黑體"/>
                <w:sz w:val="19"/>
              </w:rPr>
              <w:t>回測時序索引跨越陣列邊界</w:t>
            </w:r>
          </w:p>
        </w:tc>
        <w:tc>
          <w:tcPr>
            <w:tcW w:type="dxa" w:w="5000"/>
            <w:vAlign w:val="center"/>
          </w:tcPr>
          <w:p>
            <w:r>
              <w:rPr>
                <w:rFonts w:ascii="微軟正黑體" w:hAnsi="微軟正黑體" w:eastAsia="微軟正黑體"/>
                <w:sz w:val="19"/>
              </w:rPr>
              <w:t>顯式 assert 邊界斷言（t+2 ≤ numDays）</w:t>
            </w:r>
          </w:p>
        </w:tc>
      </w:tr>
    </w:tbl>
    <w:p>
      <w:pPr>
        <w:pStyle w:val="Heading2"/>
        <w:spacing w:before="320" w:after="160"/>
      </w:pPr>
      <w:r>
        <w:rPr>
          <w:rFonts w:ascii="微軟正黑體" w:hAnsi="微軟正黑體" w:eastAsia="微軟正黑體"/>
          <w:b/>
          <w:color w:val="2E5395"/>
          <w:sz w:val="26"/>
        </w:rPr>
        <w:t>4.2　Purged &amp; Embargoed 時序交叉驗證</w:t>
      </w:r>
    </w:p>
    <w:p>
      <w:pPr>
        <w:spacing w:after="160" w:line="300" w:lineRule="exact"/>
        <w:jc w:val="both"/>
      </w:pPr>
      <w:r>
        <w:rPr>
          <w:rFonts w:ascii="微軟正黑體" w:hAnsi="微軟正黑體" w:eastAsia="微軟正黑體"/>
          <w:sz w:val="22"/>
        </w:rPr>
        <w:t>採 López de Prado 提出之 Purging（移除訓練集中與驗證集標籤生成期間重疊的樣本）與 Embargo（於驗證集後方保留隔離期，避免序列相關殘留洩漏）方法論。本系統於 GBDT 5-Fold 時序切分中設定 20 日 Embargo，於雙軌深度表徵萃取器訓練中則另外構建橫跨三段歷史危機之獨立跨體制驗證集，兩者皆嚴格排除與訓練集時間重疊或鄰近之樣本。</w:t>
      </w:r>
    </w:p>
    <w:p>
      <w:pPr>
        <w:pStyle w:val="Heading2"/>
        <w:spacing w:before="320" w:after="160"/>
      </w:pPr>
      <w:r>
        <w:rPr>
          <w:rFonts w:ascii="微軟正黑體" w:hAnsi="微軟正黑體" w:eastAsia="微軟正黑體"/>
          <w:b/>
          <w:color w:val="2E5395"/>
          <w:sz w:val="26"/>
        </w:rPr>
        <w:t>4.3　Newey-West HAC 顯著性檢定</w:t>
      </w:r>
    </w:p>
    <w:p>
      <w:pPr>
        <w:spacing w:after="160" w:line="300" w:lineRule="exact"/>
        <w:jc w:val="both"/>
      </w:pPr>
      <w:r>
        <w:rPr>
          <w:rFonts w:ascii="微軟正黑體" w:hAnsi="微軟正黑體" w:eastAsia="微軟正黑體"/>
          <w:sz w:val="22"/>
        </w:rPr>
        <w:t>日頻金融序列（尤其滾動窗口構造之特徵，如 20 日波動度、60 日相關係數）存在顯著序列自相關，若以 Naive t 檢定計算標準誤，將低估真實標準誤而高估統計顯著性。本研究一律採用 Newey-West（1987）異方差自相關一致（HAC）標準誤估計量：以 Bartlett 核函數（權重隨落後期數線性遞減）加總各階自相關項，並以 Newey-West（1994）公式自動選擇頻寬。此方法統一實作於 utils/hac_significance_test.m，供 IC 序列、報酬序列與策略損失差序列共用。</w:t>
      </w:r>
    </w:p>
    <w:p>
      <w:pPr>
        <w:pStyle w:val="Heading2"/>
        <w:spacing w:before="320" w:after="160"/>
      </w:pPr>
      <w:r>
        <w:rPr>
          <w:rFonts w:ascii="微軟正黑體" w:hAnsi="微軟正黑體" w:eastAsia="微軟正黑體"/>
          <w:b/>
          <w:color w:val="2E5395"/>
          <w:sz w:val="26"/>
        </w:rPr>
        <w:t>4.4　Diebold-Mariano 損失差異檢定</w:t>
      </w:r>
    </w:p>
    <w:p>
      <w:pPr>
        <w:spacing w:after="160" w:line="300" w:lineRule="exact"/>
        <w:jc w:val="both"/>
      </w:pPr>
      <w:r>
        <w:rPr>
          <w:rFonts w:ascii="微軟正黑體" w:hAnsi="微軟正黑體" w:eastAsia="微軟正黑體"/>
          <w:sz w:val="22"/>
        </w:rPr>
        <w:t>為比較策略相對於基準（SPY）的預測損失是否存在統計顯著差異，本研究以損失差序列（策略均方誤差減去對照組均方誤差）進行 HAC 檢定（HAC-DM），取代僅比較報酬均值的簡單 t 檢定，避免忽略序列自相關導致的偽顯著結論。</w:t>
      </w:r>
    </w:p>
    <w:p>
      <w:pPr>
        <w:pStyle w:val="Heading2"/>
        <w:spacing w:before="320" w:after="160"/>
      </w:pPr>
      <w:r>
        <w:rPr>
          <w:rFonts w:ascii="微軟正黑體" w:hAnsi="微軟正黑體" w:eastAsia="微軟正黑體"/>
          <w:b/>
          <w:color w:val="2E5395"/>
          <w:sz w:val="26"/>
        </w:rPr>
        <w:t>4.5　Bootstrap 信賴區間</w:t>
      </w:r>
    </w:p>
    <w:p>
      <w:pPr>
        <w:spacing w:after="160" w:line="300" w:lineRule="exact"/>
        <w:jc w:val="both"/>
      </w:pPr>
      <w:r>
        <w:rPr>
          <w:rFonts w:ascii="微軟正黑體" w:hAnsi="微軟正黑體" w:eastAsia="微軟正黑體"/>
          <w:sz w:val="22"/>
        </w:rPr>
        <w:t>崩盤護欄 GBDT 之 AUC 評估採 Bootstrap 重抽樣（n=1000）估計 95% 信賴區間，用以呈現在正樣本稀少（崩盤事件本質上是稀有事件）情境下，AUC 點估計值的不確定性範圍，避免僅呈現單一點估計值而誤導其穩定性。</w:t>
      </w:r>
    </w:p>
    <w:p>
      <w:pPr>
        <w:pStyle w:val="Heading2"/>
        <w:spacing w:before="320" w:after="160"/>
      </w:pPr>
      <w:r>
        <w:rPr>
          <w:rFonts w:ascii="微軟正黑體" w:hAnsi="微軟正黑體" w:eastAsia="微軟正黑體"/>
          <w:b/>
          <w:color w:val="2E5395"/>
          <w:sz w:val="26"/>
        </w:rPr>
        <w:t>4.6　Benjamini-Hochberg FDR 多重比較校正</w:t>
      </w:r>
    </w:p>
    <w:p>
      <w:pPr>
        <w:spacing w:after="160" w:line="300" w:lineRule="exact"/>
        <w:jc w:val="both"/>
      </w:pPr>
      <w:r>
        <w:rPr>
          <w:rFonts w:ascii="微軟正黑體" w:hAnsi="微軟正黑體" w:eastAsia="微軟正黑體"/>
          <w:sz w:val="22"/>
        </w:rPr>
        <w:t>DyGAT 動態圖譜構建過程中，每一計算錨點須對上千組候選股票配對同時執行 Engle-Granger 協整檢定，屬於典型的大規模多重假設檢定情境。若逐一以 α=0.05 判斷顯著性，偽陽性邊的期望數量將隨配對數量線性增加。本研究採 Benjamini-Hochberg（1995）程序，控制錯誤發現率（False Discovery Rate）於期望水準 q=0.05，僅保留通過校正後臨界值之顯著配對作為圖神經網路輸入邊，避免圖結構被大量偽陽性關聯污染。</w:t>
      </w:r>
    </w:p>
    <w:p>
      <w:pPr>
        <w:pStyle w:val="Heading2"/>
        <w:spacing w:before="320" w:after="160"/>
      </w:pPr>
      <w:r>
        <w:rPr>
          <w:rFonts w:ascii="微軟正黑體" w:hAnsi="微軟正黑體" w:eastAsia="微軟正黑體"/>
          <w:b/>
          <w:color w:val="2E5395"/>
          <w:sz w:val="26"/>
        </w:rPr>
        <w:t>4.7　Deflated Sharpe Ratio</w:t>
      </w:r>
    </w:p>
    <w:p>
      <w:pPr>
        <w:spacing w:after="160" w:line="300" w:lineRule="exact"/>
        <w:jc w:val="both"/>
      </w:pPr>
      <w:r>
        <w:rPr>
          <w:rFonts w:ascii="微軟正黑體" w:hAnsi="微軟正黑體" w:eastAsia="微軟正黑體"/>
          <w:sz w:val="22"/>
        </w:rPr>
        <w:t>貝氏超參數尋優本質上是在同一資料集上進行多次（本研究為 25 次）回測試驗並挑選最佳者，此過程必然引入選擇偏誤（selection bias under multiple testing）——即使訊號純屬雜訊，多次試驗中亦可能出現表面上「最佳」的參數組合。本研究採 Bailey &amp; López de Prado（2014）提出之 Deflated Sharpe Ratio（DSR），以試驗次數與試驗間變異度推算「試驗噪聲基準」（Sharpe0），並將觀測夏普比率相對此基準、並考慮報酬序列偏態與峰度後校正為一機率值，用以檢定「此最佳表現是否僅為多重試驗中運氣最好者」之虛無假設。</w:t>
      </w:r>
    </w:p>
    <w:p>
      <w:pPr>
        <w:pStyle w:val="Heading2"/>
        <w:spacing w:before="320" w:after="160"/>
      </w:pPr>
      <w:r>
        <w:rPr>
          <w:rFonts w:ascii="微軟正黑體" w:hAnsi="微軟正黑體" w:eastAsia="微軟正黑體"/>
          <w:b/>
          <w:color w:val="2E5395"/>
          <w:sz w:val="26"/>
        </w:rPr>
        <w:t>4.8　消融實驗設計矩陣</w:t>
      </w:r>
    </w:p>
    <w:p>
      <w:pPr>
        <w:spacing w:after="160" w:line="300" w:lineRule="exact"/>
        <w:jc w:val="both"/>
      </w:pPr>
      <w:r>
        <w:rPr>
          <w:rFonts w:ascii="微軟正黑體" w:hAnsi="微軟正黑體" w:eastAsia="微軟正黑體"/>
          <w:sz w:val="22"/>
        </w:rPr>
        <w:t>本研究設計四項獨立消融實驗，逐一拆解系統各模組之邊際貢獻，設計總覽如下：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900"/>
            <w:shd w:fill="1F3864"/>
            <w:vAlign w:val="center"/>
          </w:tcPr>
          <w:p>
            <w:pPr>
              <w:jc w:val="center"/>
            </w:pPr>
            <w:r>
              <w:rPr>
                <w:rFonts w:ascii="微軟正黑體" w:hAnsi="微軟正黑體" w:eastAsia="微軟正黑體"/>
                <w:b/>
                <w:color w:val="FFFFFF"/>
                <w:sz w:val="19"/>
              </w:rPr>
              <w:t>編號</w:t>
            </w:r>
          </w:p>
        </w:tc>
        <w:tc>
          <w:tcPr>
            <w:tcW w:type="dxa" w:w="2600"/>
            <w:shd w:fill="1F3864"/>
            <w:vAlign w:val="center"/>
          </w:tcPr>
          <w:p>
            <w:pPr>
              <w:jc w:val="center"/>
            </w:pPr>
            <w:r>
              <w:rPr>
                <w:rFonts w:ascii="微軟正黑體" w:hAnsi="微軟正黑體" w:eastAsia="微軟正黑體"/>
                <w:b/>
                <w:color w:val="FFFFFF"/>
                <w:sz w:val="19"/>
              </w:rPr>
              <w:t>研究問題</w:t>
            </w:r>
          </w:p>
        </w:tc>
        <w:tc>
          <w:tcPr>
            <w:tcW w:type="dxa" w:w="2900"/>
            <w:shd w:fill="1F3864"/>
            <w:vAlign w:val="center"/>
          </w:tcPr>
          <w:p>
            <w:pPr>
              <w:jc w:val="center"/>
            </w:pPr>
            <w:r>
              <w:rPr>
                <w:rFonts w:ascii="微軟正黑體" w:hAnsi="微軟正黑體" w:eastAsia="微軟正黑體"/>
                <w:b/>
                <w:color w:val="FFFFFF"/>
                <w:sz w:val="19"/>
              </w:rPr>
              <w:t>對照組設計</w:t>
            </w:r>
          </w:p>
        </w:tc>
        <w:tc>
          <w:tcPr>
            <w:tcW w:type="dxa" w:w="1700"/>
            <w:shd w:fill="1F3864"/>
            <w:vAlign w:val="center"/>
          </w:tcPr>
          <w:p>
            <w:pPr>
              <w:jc w:val="center"/>
            </w:pPr>
            <w:r>
              <w:rPr>
                <w:rFonts w:ascii="微軟正黑體" w:hAnsi="微軟正黑體" w:eastAsia="微軟正黑體"/>
                <w:b/>
                <w:color w:val="FFFFFF"/>
                <w:sz w:val="19"/>
              </w:rPr>
              <w:t>評估區間</w:t>
            </w:r>
          </w:p>
        </w:tc>
        <w:tc>
          <w:tcPr>
            <w:tcW w:type="dxa" w:w="1900"/>
            <w:shd w:fill="1F3864"/>
            <w:vAlign w:val="center"/>
          </w:tcPr>
          <w:p>
            <w:pPr>
              <w:jc w:val="center"/>
            </w:pPr>
            <w:r>
              <w:rPr>
                <w:rFonts w:ascii="微軟正黑體" w:hAnsi="微軟正黑體" w:eastAsia="微軟正黑體"/>
                <w:b/>
                <w:color w:val="FFFFFF"/>
                <w:sz w:val="19"/>
              </w:rPr>
              <w:t>主要統計方法</w:t>
            </w:r>
          </w:p>
        </w:tc>
        <w:tc>
          <w:tcPr>
            <w:tcW w:type="dxa" w:w="1900"/>
            <w:shd w:fill="1F3864"/>
            <w:vAlign w:val="center"/>
          </w:tcPr>
          <w:p>
            <w:pPr>
              <w:jc w:val="center"/>
            </w:pPr>
            <w:r>
              <w:rPr>
                <w:rFonts w:ascii="微軟正黑體" w:hAnsi="微軟正黑體" w:eastAsia="微軟正黑體"/>
                <w:b/>
                <w:color w:val="FFFFFF"/>
                <w:sz w:val="19"/>
              </w:rPr>
              <w:t>危機壓力測試</w:t>
            </w:r>
          </w:p>
        </w:tc>
      </w:tr>
      <w:tr>
        <w:tc>
          <w:tcPr>
            <w:tcW w:type="dxa" w:w="900"/>
            <w:vAlign w:val="center"/>
          </w:tcPr>
          <w:p>
            <w:r>
              <w:rPr>
                <w:rFonts w:ascii="微軟正黑體" w:hAnsi="微軟正黑體" w:eastAsia="微軟正黑體"/>
                <w:sz w:val="19"/>
              </w:rPr>
              <w:t>P2-1</w:t>
            </w:r>
          </w:p>
        </w:tc>
        <w:tc>
          <w:tcPr>
            <w:tcW w:type="dxa" w:w="2600"/>
            <w:vAlign w:val="center"/>
          </w:tcPr>
          <w:p>
            <w:r>
              <w:rPr>
                <w:rFonts w:ascii="微軟正黑體" w:hAnsi="微軟正黑體" w:eastAsia="微軟正黑體"/>
                <w:sz w:val="19"/>
              </w:rPr>
              <w:t>空間專家（DyGAT）邊際貢獻</w:t>
            </w:r>
          </w:p>
        </w:tc>
        <w:tc>
          <w:tcPr>
            <w:tcW w:type="dxa" w:w="2900"/>
            <w:vAlign w:val="center"/>
          </w:tcPr>
          <w:p>
            <w:r>
              <w:rPr>
                <w:rFonts w:ascii="微軟正黑體" w:hAnsi="微軟正黑體" w:eastAsia="微軟正黑體"/>
                <w:sz w:val="19"/>
              </w:rPr>
              <w:t>Time-Only(1.0) vs Balanced(0.5) vs Space-Only(0.0)</w:t>
            </w:r>
          </w:p>
        </w:tc>
        <w:tc>
          <w:tcPr>
            <w:tcW w:type="dxa" w:w="1700"/>
            <w:vAlign w:val="center"/>
          </w:tcPr>
          <w:p>
            <w:r>
              <w:rPr>
                <w:rFonts w:ascii="微軟正黑體" w:hAnsi="微軟正黑體" w:eastAsia="微軟正黑體"/>
                <w:sz w:val="19"/>
              </w:rPr>
              <w:t>IS(2006–2021) / OOS(2022–)</w:t>
            </w:r>
          </w:p>
        </w:tc>
        <w:tc>
          <w:tcPr>
            <w:tcW w:type="dxa" w:w="1900"/>
            <w:vAlign w:val="center"/>
          </w:tcPr>
          <w:p>
            <w:r>
              <w:rPr>
                <w:rFonts w:ascii="微軟正黑體" w:hAnsi="微軟正黑體" w:eastAsia="微軟正黑體"/>
                <w:sz w:val="19"/>
              </w:rPr>
              <w:t>Naive t、HAC t、HAC-DM</w:t>
            </w:r>
          </w:p>
        </w:tc>
        <w:tc>
          <w:tcPr>
            <w:tcW w:type="dxa" w:w="1900"/>
            <w:vAlign w:val="center"/>
          </w:tcPr>
          <w:p>
            <w:r>
              <w:rPr>
                <w:rFonts w:ascii="微軟正黑體" w:hAnsi="微軟正黑體" w:eastAsia="微軟正黑體"/>
                <w:sz w:val="19"/>
              </w:rPr>
              <w:t>無</w:t>
            </w:r>
          </w:p>
        </w:tc>
      </w:tr>
      <w:tr>
        <w:tc>
          <w:tcPr>
            <w:tcW w:type="dxa" w:w="900"/>
            <w:vAlign w:val="center"/>
          </w:tcPr>
          <w:p>
            <w:r>
              <w:rPr>
                <w:rFonts w:ascii="微軟正黑體" w:hAnsi="微軟正黑體" w:eastAsia="微軟正黑體"/>
                <w:sz w:val="19"/>
              </w:rPr>
              <w:t>P2-2</w:t>
            </w:r>
          </w:p>
        </w:tc>
        <w:tc>
          <w:tcPr>
            <w:tcW w:type="dxa" w:w="2600"/>
            <w:vAlign w:val="center"/>
          </w:tcPr>
          <w:p>
            <w:r>
              <w:rPr>
                <w:rFonts w:ascii="微軟正黑體" w:hAnsi="微軟正黑體" w:eastAsia="微軟正黑體"/>
                <w:sz w:val="19"/>
              </w:rPr>
              <w:t>崩盤護欄宏觀擇時效果</w:t>
            </w:r>
          </w:p>
        </w:tc>
        <w:tc>
          <w:tcPr>
            <w:tcW w:type="dxa" w:w="2900"/>
            <w:vAlign w:val="center"/>
          </w:tcPr>
          <w:p>
            <w:r>
              <w:rPr>
                <w:rFonts w:ascii="微軟正黑體" w:hAnsi="微軟正黑體" w:eastAsia="微軟正黑體"/>
                <w:sz w:val="19"/>
              </w:rPr>
              <w:t>連續縮放 vs 二元硬熔斷 vs 無護欄基線</w:t>
            </w:r>
          </w:p>
        </w:tc>
        <w:tc>
          <w:tcPr>
            <w:tcW w:type="dxa" w:w="1700"/>
            <w:vAlign w:val="center"/>
          </w:tcPr>
          <w:p>
            <w:r>
              <w:rPr>
                <w:rFonts w:ascii="微軟正黑體" w:hAnsi="微軟正黑體" w:eastAsia="微軟正黑體"/>
                <w:sz w:val="19"/>
              </w:rPr>
              <w:t>IS / OOS</w:t>
            </w:r>
          </w:p>
        </w:tc>
        <w:tc>
          <w:tcPr>
            <w:tcW w:type="dxa" w:w="1900"/>
            <w:vAlign w:val="center"/>
          </w:tcPr>
          <w:p>
            <w:r>
              <w:rPr>
                <w:rFonts w:ascii="微軟正黑體" w:hAnsi="微軟正黑體" w:eastAsia="微軟正黑體"/>
                <w:sz w:val="19"/>
              </w:rPr>
              <w:t>HAC t、HAC-DM</w:t>
            </w:r>
          </w:p>
        </w:tc>
        <w:tc>
          <w:tcPr>
            <w:tcW w:type="dxa" w:w="1900"/>
            <w:vAlign w:val="center"/>
          </w:tcPr>
          <w:p>
            <w:r>
              <w:rPr>
                <w:rFonts w:ascii="微軟正黑體" w:hAnsi="微軟正黑體" w:eastAsia="微軟正黑體"/>
                <w:sz w:val="19"/>
              </w:rPr>
              <w:t>2008海嘯／2020 COVID／2022熊市</w:t>
            </w:r>
          </w:p>
        </w:tc>
      </w:tr>
      <w:tr>
        <w:tc>
          <w:tcPr>
            <w:tcW w:type="dxa" w:w="900"/>
            <w:vAlign w:val="center"/>
          </w:tcPr>
          <w:p>
            <w:r>
              <w:rPr>
                <w:rFonts w:ascii="微軟正黑體" w:hAnsi="微軟正黑體" w:eastAsia="微軟正黑體"/>
                <w:sz w:val="19"/>
              </w:rPr>
              <w:t>P2-3</w:t>
            </w:r>
          </w:p>
        </w:tc>
        <w:tc>
          <w:tcPr>
            <w:tcW w:type="dxa" w:w="2600"/>
            <w:vAlign w:val="center"/>
          </w:tcPr>
          <w:p>
            <w:r>
              <w:rPr>
                <w:rFonts w:ascii="微軟正黑體" w:hAnsi="微軟正黑體" w:eastAsia="微軟正黑體"/>
                <w:sz w:val="19"/>
              </w:rPr>
              <w:t>PPO 三軌集成 vs 單一代理人</w:t>
            </w:r>
          </w:p>
        </w:tc>
        <w:tc>
          <w:tcPr>
            <w:tcW w:type="dxa" w:w="2900"/>
            <w:vAlign w:val="center"/>
          </w:tcPr>
          <w:p>
            <w:r>
              <w:rPr>
                <w:rFonts w:ascii="微軟正黑體" w:hAnsi="微軟正黑體" w:eastAsia="微軟正黑體"/>
                <w:sz w:val="19"/>
              </w:rPr>
              <w:t>動態集成 vs 純Balanced／Aggressive／Conservative</w:t>
            </w:r>
          </w:p>
        </w:tc>
        <w:tc>
          <w:tcPr>
            <w:tcW w:type="dxa" w:w="1700"/>
            <w:vAlign w:val="center"/>
          </w:tcPr>
          <w:p>
            <w:r>
              <w:rPr>
                <w:rFonts w:ascii="微軟正黑體" w:hAnsi="微軟正黑體" w:eastAsia="微軟正黑體"/>
                <w:sz w:val="19"/>
              </w:rPr>
              <w:t>IS / OOS</w:t>
            </w:r>
          </w:p>
        </w:tc>
        <w:tc>
          <w:tcPr>
            <w:tcW w:type="dxa" w:w="1900"/>
            <w:vAlign w:val="center"/>
          </w:tcPr>
          <w:p>
            <w:r>
              <w:rPr>
                <w:rFonts w:ascii="微軟正黑體" w:hAnsi="微軟正黑體" w:eastAsia="微軟正黑體"/>
                <w:sz w:val="19"/>
              </w:rPr>
              <w:t>HAC t、HAC-DM</w:t>
            </w:r>
          </w:p>
        </w:tc>
        <w:tc>
          <w:tcPr>
            <w:tcW w:type="dxa" w:w="1900"/>
            <w:vAlign w:val="center"/>
          </w:tcPr>
          <w:p>
            <w:r>
              <w:rPr>
                <w:rFonts w:ascii="微軟正黑體" w:hAnsi="微軟正黑體" w:eastAsia="微軟正黑體"/>
                <w:sz w:val="19"/>
              </w:rPr>
              <w:t>同左三事件</w:t>
            </w:r>
          </w:p>
        </w:tc>
      </w:tr>
      <w:tr>
        <w:tc>
          <w:tcPr>
            <w:tcW w:type="dxa" w:w="900"/>
            <w:vAlign w:val="center"/>
          </w:tcPr>
          <w:p>
            <w:r>
              <w:rPr>
                <w:rFonts w:ascii="微軟正黑體" w:hAnsi="微軟正黑體" w:eastAsia="微軟正黑體"/>
                <w:sz w:val="19"/>
              </w:rPr>
              <w:t>P2-4</w:t>
            </w:r>
          </w:p>
        </w:tc>
        <w:tc>
          <w:tcPr>
            <w:tcW w:type="dxa" w:w="2600"/>
            <w:vAlign w:val="center"/>
          </w:tcPr>
          <w:p>
            <w:r>
              <w:rPr>
                <w:rFonts w:ascii="微軟正黑體" w:hAnsi="微軟正黑體" w:eastAsia="微軟正黑體"/>
                <w:sz w:val="19"/>
              </w:rPr>
              <w:t>VQ-VAE 降噪邊際貢獻</w:t>
            </w:r>
          </w:p>
        </w:tc>
        <w:tc>
          <w:tcPr>
            <w:tcW w:type="dxa" w:w="2900"/>
            <w:vAlign w:val="center"/>
          </w:tcPr>
          <w:p>
            <w:r>
              <w:rPr>
                <w:rFonts w:ascii="微軟正黑體" w:hAnsi="微軟正黑體" w:eastAsia="微軟正黑體"/>
                <w:sz w:val="19"/>
              </w:rPr>
              <w:t>VQ-VAE 降噪特徵 vs Raw 未量化特徵</w:t>
            </w:r>
          </w:p>
        </w:tc>
        <w:tc>
          <w:tcPr>
            <w:tcW w:type="dxa" w:w="1700"/>
            <w:vAlign w:val="center"/>
          </w:tcPr>
          <w:p>
            <w:r>
              <w:rPr>
                <w:rFonts w:ascii="微軟正黑體" w:hAnsi="微軟正黑體" w:eastAsia="微軟正黑體"/>
                <w:sz w:val="19"/>
              </w:rPr>
              <w:t>特徵層／模型層／策略層三層×IS/OOS</w:t>
            </w:r>
          </w:p>
        </w:tc>
        <w:tc>
          <w:tcPr>
            <w:tcW w:type="dxa" w:w="1900"/>
            <w:vAlign w:val="center"/>
          </w:tcPr>
          <w:p>
            <w:r>
              <w:rPr>
                <w:rFonts w:ascii="微軟正黑體" w:hAnsi="微軟正黑體" w:eastAsia="微軟正黑體"/>
                <w:sz w:val="19"/>
              </w:rPr>
              <w:t>HAC-ICIR、GBDT OOF AUC、HAC-DM</w:t>
            </w:r>
          </w:p>
        </w:tc>
        <w:tc>
          <w:tcPr>
            <w:tcW w:type="dxa" w:w="1900"/>
            <w:vAlign w:val="center"/>
          </w:tcPr>
          <w:p>
            <w:r>
              <w:rPr>
                <w:rFonts w:ascii="微軟正黑體" w:hAnsi="微軟正黑體" w:eastAsia="微軟正黑體"/>
                <w:sz w:val="19"/>
              </w:rPr>
              <w:t>無</w:t>
            </w:r>
          </w:p>
        </w:tc>
      </w:tr>
    </w:tbl>
    <w:p>
      <w:r>
        <w:br w:type="page"/>
      </w:r>
    </w:p>
    <w:p>
      <w:pPr>
        <w:pStyle w:val="Heading1"/>
        <w:spacing w:before="480" w:after="240"/>
      </w:pPr>
      <w:r>
        <w:rPr>
          <w:rFonts w:ascii="微軟正黑體" w:hAnsi="微軟正黑體" w:eastAsia="微軟正黑體"/>
          <w:b/>
          <w:color w:val="1F3864"/>
          <w:sz w:val="32"/>
        </w:rPr>
        <w:t>第五章　實證結果與討論</w:t>
      </w:r>
    </w:p>
    <w:p>
      <w:pPr>
        <w:spacing w:after="200"/>
      </w:pPr>
      <w:r>
        <w:rPr>
          <w:rFonts w:ascii="微軟正黑體" w:hAnsi="微軟正黑體" w:eastAsia="微軟正黑體"/>
          <w:i/>
          <w:color w:val="946000"/>
          <w:sz w:val="20"/>
        </w:rPr>
        <w:t>本章數據已可由現有執行紀錄（執行過程.txt、消融實驗紀錄.txt）直接整理撰寫；待特徵與模型消融實驗全部跑完定案後，再補上最終版本之圖表與逐項討論文字。</w:t>
      </w:r>
    </w:p>
    <w:p>
      <w:pPr>
        <w:pStyle w:val="Heading2"/>
        <w:spacing w:before="320" w:after="160"/>
      </w:pPr>
      <w:r>
        <w:rPr>
          <w:rFonts w:ascii="微軟正黑體" w:hAnsi="微軟正黑體" w:eastAsia="微軟正黑體"/>
          <w:b/>
          <w:color w:val="2E5395"/>
          <w:sz w:val="26"/>
        </w:rPr>
        <w:t>5.1　特徵訊號穩定性健檢（1D／5D HAC-ICIR）</w:t>
      </w:r>
    </w:p>
    <w:p>
      <w:pPr>
        <w:spacing w:after="160" w:line="300" w:lineRule="exact"/>
        <w:jc w:val="both"/>
      </w:pPr>
      <w:r>
        <w:rPr>
          <w:rFonts w:ascii="微軟正黑體" w:hAnsi="微軟正黑體" w:eastAsia="微軟正黑體"/>
          <w:sz w:val="22"/>
        </w:rPr>
        <w:t>呈現 18 維微觀／相對特徵於 1 日與 5 日 Horizon 下之 HAC-ICIR 排行榜結果。初步結果顯示 R1、R5、RelStrength、SMA20 等短期動能／反轉類特徵具備統計顯著（HAC p&lt;0.05）但方向為負的 ICIR，顯示樣本中短期反轉效應強於動能效應；Beta、Corr 則未通過顯著性檢定。此節應進一步討論：特徵層存在微弱但統計顯著訊號，與下一節模型層 AUC 接近隨機基準之現象形成對比，是本章重要診斷發現之一。</w:t>
      </w:r>
    </w:p>
    <w:p>
      <w:pPr>
        <w:spacing w:after="200"/>
        <w:shd w:fill="FBEEC9"/>
      </w:pPr>
      <w:r>
        <w:rPr>
          <w:rFonts w:ascii="微軟正黑體" w:hAnsi="微軟正黑體" w:eastAsia="微軟正黑體"/>
          <w:i/>
          <w:color w:val="946000"/>
          <w:sz w:val="20"/>
        </w:rPr>
        <w:t>【表 5-1：1D／5D HAC-ICIR 排行榜，待補——可直接整理自執行過程.txt 之 Phase 2 特徵健檢輸出】</w:t>
      </w:r>
    </w:p>
    <w:p>
      <w:pPr>
        <w:pStyle w:val="Heading2"/>
        <w:spacing w:before="320" w:after="160"/>
      </w:pPr>
      <w:r>
        <w:rPr>
          <w:rFonts w:ascii="微軟正黑體" w:hAnsi="微軟正黑體" w:eastAsia="微軟正黑體"/>
          <w:b/>
          <w:color w:val="2E5395"/>
          <w:sz w:val="26"/>
        </w:rPr>
        <w:t>5.2　雙軌萃取器訓練收斂診斷</w:t>
      </w:r>
    </w:p>
    <w:p>
      <w:pPr>
        <w:spacing w:after="160" w:line="300" w:lineRule="exact"/>
        <w:jc w:val="both"/>
      </w:pPr>
      <w:r>
        <w:rPr>
          <w:rFonts w:ascii="微軟正黑體" w:hAnsi="微軟正黑體" w:eastAsia="微軟正黑體"/>
          <w:sz w:val="22"/>
        </w:rPr>
        <w:t>呈現時序專家與空間專家之訓練／跨體制驗證損失曲線，以及表徵變異數（E_Var）健康度診斷。需誠實討論驗證損失最終停滯於 ln(2)≈0.6931（即隨機猜測基準線）之現象，並分析可能成因：樣本量相對於模型容量是否足夠、5 日 Beat-the-Median 標籤本身之訊噪比、正則化強度與早停機制是否恰當等。</w:t>
      </w:r>
    </w:p>
    <w:p>
      <w:pPr>
        <w:spacing w:after="200"/>
        <w:shd w:fill="FBEEC9"/>
      </w:pPr>
      <w:r>
        <w:rPr>
          <w:rFonts w:ascii="微軟正黑體" w:hAnsi="微軟正黑體" w:eastAsia="微軟正黑體"/>
          <w:i/>
          <w:color w:val="946000"/>
          <w:sz w:val="20"/>
        </w:rPr>
        <w:t>【圖 5-1：雙軌萃取器 Loss 曲線，待補（Phase2_Loss_Curve.png）】</w:t>
      </w:r>
    </w:p>
    <w:p>
      <w:pPr>
        <w:spacing w:after="200"/>
        <w:shd w:fill="FBEEC9"/>
      </w:pPr>
      <w:r>
        <w:rPr>
          <w:rFonts w:ascii="微軟正黑體" w:hAnsi="微軟正黑體" w:eastAsia="微軟正黑體"/>
          <w:i/>
          <w:color w:val="946000"/>
          <w:sz w:val="20"/>
        </w:rPr>
        <w:t>【圖 5-2：GCN 靜態關聯圖譜，待補（Phase2_GCN_Adjacency_Matrix.png）】</w:t>
      </w:r>
    </w:p>
    <w:p>
      <w:pPr>
        <w:pStyle w:val="Heading2"/>
        <w:spacing w:before="320" w:after="160"/>
      </w:pPr>
      <w:r>
        <w:rPr>
          <w:rFonts w:ascii="微軟正黑體" w:hAnsi="微軟正黑體" w:eastAsia="微軟正黑體"/>
          <w:b/>
          <w:color w:val="2E5395"/>
          <w:sz w:val="26"/>
        </w:rPr>
        <w:t>5.3　GBDT 專家 OOF AUC 評估與 Raw Baseline 對照</w:t>
      </w:r>
    </w:p>
    <w:p>
      <w:pPr>
        <w:spacing w:after="160" w:line="300" w:lineRule="exact"/>
        <w:jc w:val="both"/>
      </w:pPr>
      <w:r>
        <w:rPr>
          <w:rFonts w:ascii="微軟正黑體" w:hAnsi="微軟正黑體" w:eastAsia="微軟正黑體"/>
          <w:sz w:val="22"/>
        </w:rPr>
        <w:t>呈現原始 18 維未萃取特徵基準（Raw Baseline）、時序表徵（Time Embedding）與空間表徵（Space Embedding）三者之全域 OOF AUC 對照結果，並針對 DL Embedding 未能顯著超越原始特徵基準之現象進行討論：這代表在目前資料規模與訓練設定下，深度表徵學習尚未產生原始特徵之外的額外可用資訊增益。</w:t>
      </w:r>
    </w:p>
    <w:p>
      <w:pPr>
        <w:spacing w:after="200"/>
        <w:shd w:fill="FBEEC9"/>
      </w:pPr>
      <w:r>
        <w:rPr>
          <w:rFonts w:ascii="微軟正黑體" w:hAnsi="微軟正黑體" w:eastAsia="微軟正黑體"/>
          <w:i/>
          <w:color w:val="946000"/>
          <w:sz w:val="20"/>
        </w:rPr>
        <w:t>【表 5-2：GBDT OOF AUC 對照表，待補——可整理自執行過程.txt 之 Phase 3 輸出】</w:t>
      </w:r>
    </w:p>
    <w:p>
      <w:pPr>
        <w:spacing w:after="200"/>
        <w:shd w:fill="FBEEC9"/>
      </w:pPr>
      <w:r>
        <w:rPr>
          <w:rFonts w:ascii="微軟正黑體" w:hAnsi="微軟正黑體" w:eastAsia="微軟正黑體"/>
          <w:i/>
          <w:color w:val="946000"/>
          <w:sz w:val="20"/>
        </w:rPr>
        <w:t>【圖 5-3：SHAP 特徵歸因圖，待補（Phase3_SHAP_TimeExpert.png）】</w:t>
      </w:r>
    </w:p>
    <w:p>
      <w:pPr>
        <w:pStyle w:val="Heading2"/>
        <w:spacing w:before="320" w:after="160"/>
      </w:pPr>
      <w:r>
        <w:rPr>
          <w:rFonts w:ascii="微軟正黑體" w:hAnsi="微軟正黑體" w:eastAsia="微軟正黑體"/>
          <w:b/>
          <w:color w:val="2E5395"/>
          <w:sz w:val="26"/>
        </w:rPr>
        <w:t>5.4　崩盤護欄 Platt 校準與 Brier Score</w:t>
      </w:r>
    </w:p>
    <w:p>
      <w:pPr>
        <w:spacing w:after="160" w:line="300" w:lineRule="exact"/>
        <w:jc w:val="both"/>
      </w:pPr>
      <w:r>
        <w:rPr>
          <w:rFonts w:ascii="微軟正黑體" w:hAnsi="微軟正黑體" w:eastAsia="微軟正黑體"/>
          <w:sz w:val="22"/>
        </w:rPr>
        <w:t>呈現崩盤護欄機率校準前後之 Brier Score 改善幅度，並討論機率校準（提升機率之可信度／可用性）與判別力（AUC，排序能力）為兩個不同面向之評估指標——即使 AUC 之 95% 信賴區間偏寬，經校準之機率仍可作為連續型風險縮放訊號使用，此為第三章護欄模組「連續縮放」設計之統計基礎。</w:t>
      </w:r>
    </w:p>
    <w:p>
      <w:pPr>
        <w:pStyle w:val="Heading2"/>
        <w:spacing w:before="320" w:after="160"/>
      </w:pPr>
      <w:r>
        <w:rPr>
          <w:rFonts w:ascii="微軟正黑體" w:hAnsi="微軟正黑體" w:eastAsia="微軟正黑體"/>
          <w:b/>
          <w:color w:val="2E5395"/>
          <w:sz w:val="26"/>
        </w:rPr>
        <w:t>5.5　貝氏尋優與 Deflated Sharpe Ratio 分析</w:t>
      </w:r>
    </w:p>
    <w:p>
      <w:pPr>
        <w:spacing w:after="160" w:line="300" w:lineRule="exact"/>
        <w:jc w:val="both"/>
      </w:pPr>
      <w:r>
        <w:rPr>
          <w:rFonts w:ascii="微軟正黑體" w:hAnsi="微軟正黑體" w:eastAsia="微軟正黑體"/>
          <w:sz w:val="22"/>
        </w:rPr>
        <w:t>呈現 25 次貝氏尋優試驗之搜索過程與最終最佳穩健分數，並誠實呈現 DSR 校正結果。若 DSR 顯示無法拒絕「最佳結果僅為多重試驗中運氣最好者」之虛無假設，應明確論述此為系統設計中「循環斷路器」機制之預期功能——即誠實揭露當前訊號在統計上不足以支撐自信的參數選擇，而非分析流程的失敗，並說明這對後續章節（3.9 節回測結果）之解讀具有約束作用。</w:t>
      </w:r>
    </w:p>
    <w:p>
      <w:pPr>
        <w:pStyle w:val="Heading2"/>
        <w:spacing w:before="320" w:after="160"/>
      </w:pPr>
      <w:r>
        <w:rPr>
          <w:rFonts w:ascii="微軟正黑體" w:hAnsi="微軟正黑體" w:eastAsia="微軟正黑體"/>
          <w:b/>
          <w:color w:val="2E5395"/>
          <w:sz w:val="26"/>
        </w:rPr>
        <w:t>5.6　Walk-Forward 回測整體績效</w:t>
      </w:r>
    </w:p>
    <w:p>
      <w:pPr>
        <w:spacing w:after="160" w:line="300" w:lineRule="exact"/>
        <w:jc w:val="both"/>
      </w:pPr>
      <w:r>
        <w:rPr>
          <w:rFonts w:ascii="微軟正黑體" w:hAnsi="微軟正黑體" w:eastAsia="微軟正黑體"/>
          <w:sz w:val="22"/>
        </w:rPr>
        <w:t>呈現樣本內（IS）與樣本外（OOS）之總報酬、最大回撤、夏普比率，並與 SPY 基準對照。應如實呈現策略跑輸大盤基準之結果，不加以美化，並將此結果導向 5.11 節之綜合診斷討論，而非在此處提前下結論。</w:t>
      </w:r>
    </w:p>
    <w:p>
      <w:pPr>
        <w:spacing w:after="200"/>
        <w:shd w:fill="FBEEC9"/>
      </w:pPr>
      <w:r>
        <w:rPr>
          <w:rFonts w:ascii="微軟正黑體" w:hAnsi="微軟正黑體" w:eastAsia="微軟正黑體"/>
          <w:i/>
          <w:color w:val="946000"/>
          <w:sz w:val="20"/>
        </w:rPr>
        <w:t>【圖 5-4：Walk-Forward 回測綜合報表，待補——需先於程式中補上 saveas 儲存指令後重新執行】</w:t>
      </w:r>
    </w:p>
    <w:p>
      <w:pPr>
        <w:spacing w:after="200"/>
        <w:shd w:fill="FBEEC9"/>
      </w:pPr>
      <w:r>
        <w:rPr>
          <w:rFonts w:ascii="微軟正黑體" w:hAnsi="微軟正黑體" w:eastAsia="微軟正黑體"/>
          <w:i/>
          <w:color w:val="946000"/>
          <w:sz w:val="20"/>
        </w:rPr>
        <w:t>【表 5-3：Walk-Forward IS／OOS 績效總表，待補】</w:t>
      </w:r>
    </w:p>
    <w:p>
      <w:pPr>
        <w:pStyle w:val="Heading2"/>
        <w:spacing w:before="320" w:after="160"/>
      </w:pPr>
      <w:r>
        <w:rPr>
          <w:rFonts w:ascii="微軟正黑體" w:hAnsi="微軟正黑體" w:eastAsia="微軟正黑體"/>
          <w:b/>
          <w:color w:val="2E5395"/>
          <w:sz w:val="26"/>
        </w:rPr>
        <w:t>5.7　P2-1：空間專家（DyGAT）邊際貢獻消融結果</w:t>
      </w:r>
    </w:p>
    <w:p>
      <w:pPr>
        <w:spacing w:after="160" w:line="300" w:lineRule="exact"/>
        <w:jc w:val="both"/>
      </w:pPr>
      <w:r>
        <w:rPr>
          <w:rFonts w:ascii="微軟正黑體" w:hAnsi="微軟正黑體" w:eastAsia="微軟正黑體"/>
          <w:sz w:val="22"/>
        </w:rPr>
        <w:t>呈現 Pure Time、Balanced、Pure Space 三組於 IS／OOS 之總報酬、最大回撤、年化夏普，以及 Naive t／HAC t／HAC-DM 檢定結果，討論純時序訊號是否顯著優於納入空間專家之組合，並延伸討論此結果對第五章5.3節「GBDT空間表徵AUC未顯著」發現之呼應。</w:t>
      </w:r>
    </w:p>
    <w:p>
      <w:pPr>
        <w:pStyle w:val="Heading2"/>
        <w:spacing w:before="320" w:after="160"/>
      </w:pPr>
      <w:r>
        <w:rPr>
          <w:rFonts w:ascii="微軟正黑體" w:hAnsi="微軟正黑體" w:eastAsia="微軟正黑體"/>
          <w:b/>
          <w:color w:val="2E5395"/>
          <w:sz w:val="26"/>
        </w:rPr>
        <w:t>5.8　P2-2：崩盤護欄與宏觀擇時消融結果</w:t>
      </w:r>
    </w:p>
    <w:p>
      <w:pPr>
        <w:spacing w:after="160" w:line="300" w:lineRule="exact"/>
        <w:jc w:val="both"/>
      </w:pPr>
      <w:r>
        <w:rPr>
          <w:rFonts w:ascii="微軟正黑體" w:hAnsi="微軟正黑體" w:eastAsia="微軟正黑體"/>
          <w:sz w:val="22"/>
        </w:rPr>
        <w:t>呈現連續縮放、二元硬熔斷、無護欄基線三組之 IS／OOS 表現，並重點呈現三次歷史危機事件（2008、2020、2022）下三組之區間報酬、最大回撤與平均避險現金比例對照，此為系統中最具實證支持之模組——即使選股訊號本身有效性有限，護欄模組於危機期間仍展現獨立的尾端風險抑制價值。</w:t>
      </w:r>
    </w:p>
    <w:p>
      <w:pPr>
        <w:spacing w:after="200"/>
        <w:shd w:fill="FBEEC9"/>
      </w:pPr>
      <w:r>
        <w:rPr>
          <w:rFonts w:ascii="微軟正黑體" w:hAnsi="微軟正黑體" w:eastAsia="微軟正黑體"/>
          <w:i/>
          <w:color w:val="946000"/>
          <w:sz w:val="20"/>
        </w:rPr>
        <w:t>【圖 5-5：P2-2 崩盤護欄消融對比圖，待補（P2_2_CrashGuard_Ablation.png）】</w:t>
      </w:r>
    </w:p>
    <w:p>
      <w:pPr>
        <w:pStyle w:val="Heading2"/>
        <w:spacing w:before="320" w:after="160"/>
      </w:pPr>
      <w:r>
        <w:rPr>
          <w:rFonts w:ascii="微軟正黑體" w:hAnsi="微軟正黑體" w:eastAsia="微軟正黑體"/>
          <w:b/>
          <w:color w:val="2E5395"/>
          <w:sz w:val="26"/>
        </w:rPr>
        <w:t>5.9　P2-3：PPO 三軌集成消融結果</w:t>
      </w:r>
    </w:p>
    <w:p>
      <w:pPr>
        <w:spacing w:after="160" w:line="300" w:lineRule="exact"/>
        <w:jc w:val="both"/>
      </w:pPr>
      <w:r>
        <w:rPr>
          <w:rFonts w:ascii="微軟正黑體" w:hAnsi="微軟正黑體" w:eastAsia="微軟正黑體"/>
          <w:sz w:val="22"/>
        </w:rPr>
        <w:t>呈現三軌動態集成與單一 Balanced／Aggressive／Conservative 代理人之 IS／OOS 對照結果與 HAC／HAC-DM 檢定，並誠實討論若未達統計顯著，應如何以「分層強化學習處理多風險偏好之工程架構設計」角度進行質化論述，而非強行宣稱績效優勢。</w:t>
      </w:r>
    </w:p>
    <w:p>
      <w:pPr>
        <w:spacing w:after="200"/>
        <w:shd w:fill="FBEEC9"/>
      </w:pPr>
      <w:r>
        <w:rPr>
          <w:rFonts w:ascii="微軟正黑體" w:hAnsi="微軟正黑體" w:eastAsia="微軟正黑體"/>
          <w:i/>
          <w:color w:val="946000"/>
          <w:sz w:val="20"/>
        </w:rPr>
        <w:t>【圖 5-6：P2-3 PPO 三軌集成消融對比圖，待補（P2_3_PPO_Ensemble_Ablation.png）】</w:t>
      </w:r>
    </w:p>
    <w:p>
      <w:pPr>
        <w:pStyle w:val="Heading2"/>
        <w:spacing w:before="320" w:after="160"/>
      </w:pPr>
      <w:r>
        <w:rPr>
          <w:rFonts w:ascii="微軟正黑體" w:hAnsi="微軟正黑體" w:eastAsia="微軟正黑體"/>
          <w:b/>
          <w:color w:val="2E5395"/>
          <w:sz w:val="26"/>
        </w:rPr>
        <w:t>5.10　P2-4：VQ-VAE 降噪消融結果</w:t>
      </w:r>
    </w:p>
    <w:p>
      <w:pPr>
        <w:spacing w:after="160" w:line="300" w:lineRule="exact"/>
        <w:jc w:val="both"/>
      </w:pPr>
      <w:r>
        <w:rPr>
          <w:rFonts w:ascii="微軟正黑體" w:hAnsi="微軟正黑體" w:eastAsia="微軟正黑體"/>
          <w:sz w:val="22"/>
        </w:rPr>
        <w:t>依特徵層（HAC-ICIR）、模型層（GBDT OOF AUC）、策略層（HAC-DM 報酬差檢定）三層次呈現 VQ-VAE 降噪特徵與原始未量化特徵之對照結果，討論向量量化降噪在保留主要特徵結構的同時，是否引入額外的虛假訊號增量，或僅單純達到維度壓縮與運算效率提升之工程價值。</w:t>
      </w:r>
    </w:p>
    <w:p>
      <w:pPr>
        <w:spacing w:after="200"/>
        <w:shd w:fill="FBEEC9"/>
      </w:pPr>
      <w:r>
        <w:rPr>
          <w:rFonts w:ascii="微軟正黑體" w:hAnsi="微軟正黑體" w:eastAsia="微軟正黑體"/>
          <w:i/>
          <w:color w:val="946000"/>
          <w:sz w:val="20"/>
        </w:rPr>
        <w:t>【圖 5-7：P2-4 VQ-VAE 降噪消融對比圖，待補（P2_4_VQVAE_Ablation.png）】</w:t>
      </w:r>
    </w:p>
    <w:p>
      <w:pPr>
        <w:pStyle w:val="Heading2"/>
        <w:spacing w:before="320" w:after="160"/>
      </w:pPr>
      <w:r>
        <w:rPr>
          <w:rFonts w:ascii="微軟正黑體" w:hAnsi="微軟正黑體" w:eastAsia="微軟正黑體"/>
          <w:b/>
          <w:color w:val="2E5395"/>
          <w:sz w:val="26"/>
        </w:rPr>
        <w:t>5.11　綜合討論</w:t>
      </w:r>
    </w:p>
    <w:p>
      <w:pPr>
        <w:spacing w:after="160" w:line="300" w:lineRule="exact"/>
        <w:jc w:val="both"/>
      </w:pPr>
      <w:r>
        <w:rPr>
          <w:rFonts w:ascii="微軟正黑體" w:hAnsi="微軟正黑體" w:eastAsia="微軟正黑體"/>
          <w:sz w:val="22"/>
        </w:rPr>
        <w:t>統整全章實證發現，回應第一章之研究動機與問題意識：</w:t>
      </w:r>
    </w:p>
    <w:p>
      <w:pPr>
        <w:pStyle w:val="ListBullet"/>
        <w:spacing w:after="80"/>
      </w:pPr>
      <w:r>
        <w:rPr>
          <w:rFonts w:ascii="微軟正黑體" w:hAnsi="微軟正黑體" w:eastAsia="微軟正黑體"/>
          <w:sz w:val="22"/>
        </w:rPr>
        <w:t>特徵層具備微弱但統計顯著的訊號（尤其短期反轉類特徵），但模型層（深度表徵、GBDT）未能有效放大此訊號至可穩定交易之水準，顯示訊號放大鏈中存在待改進的環節。</w:t>
      </w:r>
    </w:p>
    <w:p>
      <w:pPr>
        <w:pStyle w:val="ListBullet"/>
        <w:spacing w:after="80"/>
      </w:pPr>
      <w:r>
        <w:rPr>
          <w:rFonts w:ascii="微軟正黑體" w:hAnsi="微軟正黑體" w:eastAsia="微軟正黑體"/>
          <w:sz w:val="22"/>
        </w:rPr>
        <w:t>崩盤護欄模組展現出獨立於選股訊號品質之尾端風險防禦價值，於歷史危機事件中最大回撤顯著改善，是本系統目前最具實證支持的模組貢獻。</w:t>
      </w:r>
    </w:p>
    <w:p>
      <w:pPr>
        <w:pStyle w:val="ListBullet"/>
        <w:spacing w:after="80"/>
      </w:pPr>
      <w:r>
        <w:rPr>
          <w:rFonts w:ascii="微軟正黑體" w:hAnsi="微軟正黑體" w:eastAsia="微軟正黑體"/>
          <w:sz w:val="22"/>
        </w:rPr>
        <w:t>三軌 PPO 集成相對單一代理人未展現穩定的統計顯著增量，可能反映當前 5 維宏觀狀態空間過於簡化，不足以支撐真正差異化的風險決策。</w:t>
      </w:r>
    </w:p>
    <w:p>
      <w:pPr>
        <w:pStyle w:val="ListBullet"/>
        <w:spacing w:after="80"/>
      </w:pPr>
      <w:r>
        <w:rPr>
          <w:rFonts w:ascii="微軟正黑體" w:hAnsi="微軟正黑體" w:eastAsia="微軟正黑體"/>
          <w:sz w:val="22"/>
        </w:rPr>
        <w:t>VQ-VAE 降噪對訊噪比與下游 AUC 之邊際影響輕微，顯示本資料集之雜訊結構可能非其設計所針對的類型，或潛在空間維度、編碼簿規模仍有調整空間。</w:t>
      </w:r>
    </w:p>
    <w:p>
      <w:r>
        <w:br w:type="page"/>
      </w:r>
    </w:p>
    <w:p>
      <w:pPr>
        <w:pStyle w:val="Heading1"/>
        <w:spacing w:before="480" w:after="240"/>
      </w:pPr>
      <w:r>
        <w:rPr>
          <w:rFonts w:ascii="微軟正黑體" w:hAnsi="微軟正黑體" w:eastAsia="微軟正黑體"/>
          <w:b/>
          <w:color w:val="1F3864"/>
          <w:sz w:val="32"/>
        </w:rPr>
        <w:t>第六章　結論與未來工作</w:t>
      </w:r>
    </w:p>
    <w:p>
      <w:pPr>
        <w:pStyle w:val="Heading2"/>
        <w:spacing w:before="320" w:after="160"/>
      </w:pPr>
      <w:r>
        <w:rPr>
          <w:rFonts w:ascii="微軟正黑體" w:hAnsi="微軟正黑體" w:eastAsia="微軟正黑體"/>
          <w:b/>
          <w:color w:val="2E5395"/>
          <w:sz w:val="26"/>
        </w:rPr>
        <w:t>6.1　研究結論</w:t>
      </w:r>
    </w:p>
    <w:p>
      <w:pPr>
        <w:spacing w:after="160" w:line="300" w:lineRule="exact"/>
        <w:jc w:val="both"/>
      </w:pPr>
      <w:r>
        <w:rPr>
          <w:rFonts w:ascii="微軟正黑體" w:hAnsi="微軟正黑體" w:eastAsia="微軟正黑體"/>
          <w:sz w:val="22"/>
        </w:rPr>
        <w:t>依研究目的逐項總結：本研究成功建構一套具備 Point-in-Time 正確性的美股大宇宙資料管線、整合向量量化降噪與雙軌時空表徵萃取之特徵系統、GBDT 顯性風險預測與崩盤護欄模組、三軌強化學習動態資產配置系統，並以嚴謹的統計驗證框架逐一檢視各模組之邊際貢獻。</w:t>
      </w:r>
    </w:p>
    <w:p>
      <w:pPr>
        <w:pStyle w:val="Heading2"/>
        <w:spacing w:before="320" w:after="160"/>
      </w:pPr>
      <w:r>
        <w:rPr>
          <w:rFonts w:ascii="微軟正黑體" w:hAnsi="微軟正黑體" w:eastAsia="微軟正黑體"/>
          <w:b/>
          <w:color w:val="2E5395"/>
          <w:sz w:val="26"/>
        </w:rPr>
        <w:t>6.2　方法論貢獻總結</w:t>
      </w:r>
    </w:p>
    <w:p>
      <w:pPr>
        <w:spacing w:after="160" w:line="300" w:lineRule="exact"/>
        <w:jc w:val="both"/>
      </w:pPr>
      <w:r>
        <w:rPr>
          <w:rFonts w:ascii="微軟正黑體" w:hAnsi="微軟正黑體" w:eastAsia="微軟正黑體"/>
          <w:sz w:val="22"/>
        </w:rPr>
        <w:t>重申本論文核心價值：Point-in-Time 防洩漏設計、Purged &amp; Embargoed 交叉驗證、Newey-West HAC 與 Diebold-Mariano 檢定、Benjamini-Hochberg FDR 多重比較校正、Deflated Sharpe Ratio 選擇偏誤校正，以及四層次消融實驗框架，共同構成一套可供後續研究複用之量化研究誠信驗證方法論範本。</w:t>
      </w:r>
    </w:p>
    <w:p>
      <w:pPr>
        <w:pStyle w:val="Heading2"/>
        <w:spacing w:before="320" w:after="160"/>
      </w:pPr>
      <w:r>
        <w:rPr>
          <w:rFonts w:ascii="微軟正黑體" w:hAnsi="微軟正黑體" w:eastAsia="微軟正黑體"/>
          <w:b/>
          <w:color w:val="2E5395"/>
          <w:sz w:val="26"/>
        </w:rPr>
        <w:t>6.3　研究限制</w:t>
      </w:r>
    </w:p>
    <w:p>
      <w:pPr>
        <w:pStyle w:val="ListBullet"/>
        <w:spacing w:after="80"/>
      </w:pPr>
      <w:r>
        <w:rPr>
          <w:rFonts w:ascii="微軟正黑體" w:hAnsi="微軟正黑體" w:eastAsia="微軟正黑體"/>
          <w:sz w:val="22"/>
        </w:rPr>
        <w:t>樣本期間與資產類別侷限於美股 S&amp;P 500 歷史成分股，未涵蓋其他市場或資產類別。</w:t>
      </w:r>
    </w:p>
    <w:p>
      <w:pPr>
        <w:pStyle w:val="ListBullet"/>
        <w:spacing w:after="80"/>
      </w:pPr>
      <w:r>
        <w:rPr>
          <w:rFonts w:ascii="微軟正黑體" w:hAnsi="微軟正黑體" w:eastAsia="微軟正黑體"/>
          <w:sz w:val="22"/>
        </w:rPr>
        <w:t>特徵集雖涵蓋 28 維，仍屬有限特徵空間，可能未能充分捕捉市場結構。</w:t>
      </w:r>
    </w:p>
    <w:p>
      <w:pPr>
        <w:pStyle w:val="ListBullet"/>
        <w:spacing w:after="80"/>
      </w:pPr>
      <w:r>
        <w:rPr>
          <w:rFonts w:ascii="微軟正黑體" w:hAnsi="微軟正黑體" w:eastAsia="微軟正黑體"/>
          <w:sz w:val="22"/>
        </w:rPr>
        <w:t>CPU-only 訓練規模限制了模型容量與訓練樣本批次大小，可能是深度表徵未顯著超越原始特徵基準的成因之一。</w:t>
      </w:r>
    </w:p>
    <w:p>
      <w:pPr>
        <w:pStyle w:val="ListBullet"/>
        <w:spacing w:after="80"/>
      </w:pPr>
      <w:r>
        <w:rPr>
          <w:rFonts w:ascii="微軟正黑體" w:hAnsi="微軟正黑體" w:eastAsia="微軟正黑體"/>
          <w:sz w:val="22"/>
        </w:rPr>
        <w:t>強化學習狀態空間僅 5 維宏觀特徵，決策粒度相對粗略。</w:t>
      </w:r>
    </w:p>
    <w:p>
      <w:pPr>
        <w:pStyle w:val="Heading2"/>
        <w:spacing w:before="320" w:after="160"/>
      </w:pPr>
      <w:r>
        <w:rPr>
          <w:rFonts w:ascii="微軟正黑體" w:hAnsi="微軟正黑體" w:eastAsia="微軟正黑體"/>
          <w:b/>
          <w:color w:val="2E5395"/>
          <w:sz w:val="26"/>
        </w:rPr>
        <w:t>6.4　未來工作建議</w:t>
      </w:r>
    </w:p>
    <w:p>
      <w:pPr>
        <w:pStyle w:val="ListBullet"/>
        <w:spacing w:after="80"/>
      </w:pPr>
      <w:r>
        <w:rPr>
          <w:rFonts w:ascii="微軟正黑體" w:hAnsi="微軟正黑體" w:eastAsia="微軟正黑體"/>
          <w:sz w:val="22"/>
        </w:rPr>
        <w:t>擴充特徵集與延長歷史資料涵蓋範圍，提升訊號估計之統計檢定力（statistical power）。</w:t>
      </w:r>
    </w:p>
    <w:p>
      <w:pPr>
        <w:pStyle w:val="ListBullet"/>
        <w:spacing w:after="80"/>
      </w:pPr>
      <w:r>
        <w:rPr>
          <w:rFonts w:ascii="微軟正黑體" w:hAnsi="微軟正黑體" w:eastAsia="微軟正黑體"/>
          <w:sz w:val="22"/>
        </w:rPr>
        <w:t>嘗試更大規模或不同架構之序列模型（如更深層 Transformer），並搭配 GPU 資源擴大訓練批次。</w:t>
      </w:r>
    </w:p>
    <w:p>
      <w:pPr>
        <w:pStyle w:val="ListBullet"/>
        <w:spacing w:after="80"/>
      </w:pPr>
      <w:r>
        <w:rPr>
          <w:rFonts w:ascii="微軟正黑體" w:hAnsi="微軟正黑體" w:eastAsia="微軟正黑體"/>
          <w:sz w:val="22"/>
        </w:rPr>
        <w:t>擴充強化學習狀態空間，納入更細緻之個股層級或產業層級資訊。</w:t>
      </w:r>
    </w:p>
    <w:p>
      <w:pPr>
        <w:pStyle w:val="ListBullet"/>
        <w:spacing w:after="80"/>
      </w:pPr>
      <w:r>
        <w:rPr>
          <w:rFonts w:ascii="微軟正黑體" w:hAnsi="微軟正黑體" w:eastAsia="微軟正黑體"/>
          <w:sz w:val="22"/>
        </w:rPr>
        <w:t>將本方法論框架延伸應用至其他資產類別（如台股、加密貨幣、外匯）以檢驗其可遷移性。</w:t>
      </w:r>
    </w:p>
    <w:p>
      <w:pPr>
        <w:pStyle w:val="ListBullet"/>
        <w:spacing w:after="80"/>
      </w:pPr>
      <w:r>
        <w:rPr>
          <w:rFonts w:ascii="微軟正黑體" w:hAnsi="微軟正黑體" w:eastAsia="微軟正黑體"/>
          <w:sz w:val="22"/>
        </w:rPr>
        <w:t>探索線上學習／持續調適（continual learning）機制，因應市場體制之長期演變。</w:t>
      </w:r>
    </w:p>
    <w:p>
      <w:r>
        <w:br w:type="page"/>
      </w:r>
    </w:p>
    <w:p>
      <w:pPr>
        <w:pStyle w:val="Heading1"/>
        <w:spacing w:before="480" w:after="240"/>
      </w:pPr>
      <w:r>
        <w:rPr>
          <w:rFonts w:ascii="微軟正黑體" w:hAnsi="微軟正黑體" w:eastAsia="微軟正黑體"/>
          <w:b/>
          <w:color w:val="1F3864"/>
          <w:sz w:val="32"/>
        </w:rPr>
        <w:t>參考文獻</w:t>
      </w:r>
    </w:p>
    <w:p>
      <w:pPr>
        <w:spacing w:after="200"/>
      </w:pPr>
      <w:r>
        <w:rPr>
          <w:rFonts w:ascii="微軟正黑體" w:hAnsi="微軟正黑體" w:eastAsia="微軟正黑體"/>
          <w:i/>
          <w:color w:val="946000"/>
          <w:sz w:val="20"/>
        </w:rPr>
        <w:t>以下依主題分類列出待補之正式引用文獻方向，待你蒐集確切出版資訊（作者、年份、期刊/會議、卷期頁碼）後依系上規定格式（APA／IEEE）統一整理。</w:t>
      </w:r>
    </w:p>
    <w:p>
      <w:pPr>
        <w:pStyle w:val="Heading2"/>
        <w:spacing w:before="320" w:after="160"/>
      </w:pPr>
      <w:r>
        <w:rPr>
          <w:rFonts w:ascii="微軟正黑體" w:hAnsi="微軟正黑體" w:eastAsia="微軟正黑體"/>
          <w:b/>
          <w:color w:val="2E5395"/>
          <w:sz w:val="26"/>
        </w:rPr>
        <w:t>統計套利與協整理論</w:t>
      </w:r>
    </w:p>
    <w:p>
      <w:pPr>
        <w:pStyle w:val="ListBullet"/>
        <w:spacing w:after="80"/>
      </w:pPr>
      <w:r>
        <w:rPr>
          <w:rFonts w:ascii="微軟正黑體" w:hAnsi="微軟正黑體" w:eastAsia="微軟正黑體"/>
          <w:sz w:val="22"/>
        </w:rPr>
        <w:t>Engle, R. F., &amp; Granger, C. W. J.（1987）. Co-integration and error correction: Representation, estimation, and testing.</w:t>
      </w:r>
    </w:p>
    <w:p>
      <w:pPr>
        <w:pStyle w:val="ListBullet"/>
        <w:spacing w:after="80"/>
      </w:pPr>
      <w:r>
        <w:rPr>
          <w:rFonts w:ascii="微軟正黑體" w:hAnsi="微軟正黑體" w:eastAsia="微軟正黑體"/>
          <w:sz w:val="22"/>
        </w:rPr>
        <w:t>Gatev, E., Goetzmann, W. N., &amp; Rouwenhorst, K. G. Pairs Trading 相關研究。</w:t>
      </w:r>
    </w:p>
    <w:p>
      <w:pPr>
        <w:pStyle w:val="Heading2"/>
        <w:spacing w:before="320" w:after="160"/>
      </w:pPr>
      <w:r>
        <w:rPr>
          <w:rFonts w:ascii="微軟正黑體" w:hAnsi="微軟正黑體" w:eastAsia="微軟正黑體"/>
          <w:b/>
          <w:color w:val="2E5395"/>
          <w:sz w:val="26"/>
        </w:rPr>
        <w:t>機器學習與可解釋性</w:t>
      </w:r>
    </w:p>
    <w:p>
      <w:pPr>
        <w:pStyle w:val="ListBullet"/>
        <w:spacing w:after="80"/>
      </w:pPr>
      <w:r>
        <w:rPr>
          <w:rFonts w:ascii="微軟正黑體" w:hAnsi="微軟正黑體" w:eastAsia="微軟正黑體"/>
          <w:sz w:val="22"/>
        </w:rPr>
        <w:t>Lundberg, S. M., &amp; Lee, S.-I.（2017）. A Unified Approach to Interpreting Model Predictions（SHAP）。</w:t>
      </w:r>
    </w:p>
    <w:p>
      <w:pPr>
        <w:pStyle w:val="ListBullet"/>
        <w:spacing w:after="80"/>
      </w:pPr>
      <w:r>
        <w:rPr>
          <w:rFonts w:ascii="微軟正黑體" w:hAnsi="微軟正黑體" w:eastAsia="微軟正黑體"/>
          <w:sz w:val="22"/>
        </w:rPr>
        <w:t>GBDT／LogitBoost／RUSBoost 相關方法論文獻。</w:t>
      </w:r>
    </w:p>
    <w:p>
      <w:pPr>
        <w:pStyle w:val="Heading2"/>
        <w:spacing w:before="320" w:after="160"/>
      </w:pPr>
      <w:r>
        <w:rPr>
          <w:rFonts w:ascii="微軟正黑體" w:hAnsi="微軟正黑體" w:eastAsia="微軟正黑體"/>
          <w:b/>
          <w:color w:val="2E5395"/>
          <w:sz w:val="26"/>
        </w:rPr>
        <w:t>深度學習表徵學習</w:t>
      </w:r>
    </w:p>
    <w:p>
      <w:pPr>
        <w:pStyle w:val="ListBullet"/>
        <w:spacing w:after="80"/>
      </w:pPr>
      <w:r>
        <w:rPr>
          <w:rFonts w:ascii="微軟正黑體" w:hAnsi="微軟正黑體" w:eastAsia="微軟正黑體"/>
          <w:sz w:val="22"/>
        </w:rPr>
        <w:t>LSTM／Self-Attention 於金融時間序列預測之相關文獻。</w:t>
      </w:r>
    </w:p>
    <w:p>
      <w:pPr>
        <w:pStyle w:val="ListBullet"/>
        <w:spacing w:after="80"/>
      </w:pPr>
      <w:r>
        <w:rPr>
          <w:rFonts w:ascii="微軟正黑體" w:hAnsi="微軟正黑體" w:eastAsia="微軟正黑體"/>
          <w:sz w:val="22"/>
        </w:rPr>
        <w:t>圖神經網路（GCN／GAT）於股票關聯建模之相關文獻。</w:t>
      </w:r>
    </w:p>
    <w:p>
      <w:pPr>
        <w:pStyle w:val="Heading2"/>
        <w:spacing w:before="320" w:after="160"/>
      </w:pPr>
      <w:r>
        <w:rPr>
          <w:rFonts w:ascii="微軟正黑體" w:hAnsi="微軟正黑體" w:eastAsia="微軟正黑體"/>
          <w:b/>
          <w:color w:val="2E5395"/>
          <w:sz w:val="26"/>
        </w:rPr>
        <w:t>向量量化與表徵學習</w:t>
      </w:r>
    </w:p>
    <w:p>
      <w:pPr>
        <w:pStyle w:val="ListBullet"/>
        <w:spacing w:after="80"/>
      </w:pPr>
      <w:r>
        <w:rPr>
          <w:rFonts w:ascii="微軟正黑體" w:hAnsi="微軟正黑體" w:eastAsia="微軟正黑體"/>
          <w:sz w:val="22"/>
        </w:rPr>
        <w:t>van den Oord, A., Vinyals, O., &amp; Kavukcuoglu, K.（2017）. Neural Discrete Representation Learning（VQ-VAE）。</w:t>
      </w:r>
    </w:p>
    <w:p>
      <w:pPr>
        <w:pStyle w:val="Heading2"/>
        <w:spacing w:before="320" w:after="160"/>
      </w:pPr>
      <w:r>
        <w:rPr>
          <w:rFonts w:ascii="微軟正黑體" w:hAnsi="微軟正黑體" w:eastAsia="微軟正黑體"/>
          <w:b/>
          <w:color w:val="2E5395"/>
          <w:sz w:val="26"/>
        </w:rPr>
        <w:t>強化學習與資產配置</w:t>
      </w:r>
    </w:p>
    <w:p>
      <w:pPr>
        <w:pStyle w:val="ListBullet"/>
        <w:spacing w:after="80"/>
      </w:pPr>
      <w:r>
        <w:rPr>
          <w:rFonts w:ascii="微軟正黑體" w:hAnsi="微軟正黑體" w:eastAsia="微軟正黑體"/>
          <w:sz w:val="22"/>
        </w:rPr>
        <w:t>Schulman, J., Wolski, F., Dhariwal, P., Radford, A., &amp; Klimov, O.（2017）. Proximal Policy Optimization Algorithms。</w:t>
      </w:r>
    </w:p>
    <w:p>
      <w:pPr>
        <w:pStyle w:val="ListBullet"/>
        <w:spacing w:after="80"/>
      </w:pPr>
      <w:r>
        <w:rPr>
          <w:rFonts w:ascii="微軟正黑體" w:hAnsi="微軟正黑體" w:eastAsia="微軟正黑體"/>
          <w:sz w:val="22"/>
        </w:rPr>
        <w:t>Deep Reinforcement Learning for Portfolio Management 相關研究。</w:t>
      </w:r>
    </w:p>
    <w:p>
      <w:pPr>
        <w:pStyle w:val="Heading2"/>
        <w:spacing w:before="320" w:after="160"/>
      </w:pPr>
      <w:r>
        <w:rPr>
          <w:rFonts w:ascii="微軟正黑體" w:hAnsi="微軟正黑體" w:eastAsia="微軟正黑體"/>
          <w:b/>
          <w:color w:val="2E5395"/>
          <w:sz w:val="26"/>
        </w:rPr>
        <w:t>量化金融統計方法論</w:t>
      </w:r>
    </w:p>
    <w:p>
      <w:pPr>
        <w:pStyle w:val="ListBullet"/>
        <w:spacing w:after="80"/>
      </w:pPr>
      <w:r>
        <w:rPr>
          <w:rFonts w:ascii="微軟正黑體" w:hAnsi="微軟正黑體" w:eastAsia="微軟正黑體"/>
          <w:sz w:val="22"/>
        </w:rPr>
        <w:t>López de Prado, M.（2018）. Advances in Financial Machine Learning.</w:t>
      </w:r>
    </w:p>
    <w:p>
      <w:pPr>
        <w:pStyle w:val="ListBullet"/>
        <w:spacing w:after="80"/>
      </w:pPr>
      <w:r>
        <w:rPr>
          <w:rFonts w:ascii="微軟正黑體" w:hAnsi="微軟正黑體" w:eastAsia="微軟正黑體"/>
          <w:sz w:val="22"/>
        </w:rPr>
        <w:t>Newey, W. K., &amp; West, K. D.（1987）. A Simple, Positive Semi-Definite, Heteroskedasticity and Autocorrelation Consistent Covariance Matrix.</w:t>
      </w:r>
    </w:p>
    <w:p>
      <w:pPr>
        <w:pStyle w:val="ListBullet"/>
        <w:spacing w:after="80"/>
      </w:pPr>
      <w:r>
        <w:rPr>
          <w:rFonts w:ascii="微軟正黑體" w:hAnsi="微軟正黑體" w:eastAsia="微軟正黑體"/>
          <w:sz w:val="22"/>
        </w:rPr>
        <w:t>Diebold, F. X., &amp; Mariano, R. S.（1995）. Comparing Predictive Accuracy.</w:t>
      </w:r>
    </w:p>
    <w:p>
      <w:pPr>
        <w:pStyle w:val="ListBullet"/>
        <w:spacing w:after="80"/>
      </w:pPr>
      <w:r>
        <w:rPr>
          <w:rFonts w:ascii="微軟正黑體" w:hAnsi="微軟正黑體" w:eastAsia="微軟正黑體"/>
          <w:sz w:val="22"/>
        </w:rPr>
        <w:t>Benjamini, Y., &amp; Hochberg, Y.（1995）. Controlling the False Discovery Rate.</w:t>
      </w:r>
    </w:p>
    <w:p>
      <w:pPr>
        <w:pStyle w:val="ListBullet"/>
        <w:spacing w:after="80"/>
      </w:pPr>
      <w:r>
        <w:rPr>
          <w:rFonts w:ascii="微軟正黑體" w:hAnsi="微軟正黑體" w:eastAsia="微軟正黑體"/>
          <w:sz w:val="22"/>
        </w:rPr>
        <w:t>Bailey, D. H., &amp; López de Prado, M.（2014）. The Deflated Sharpe Ratio: Correcting for Selection Bias, Backtest Overfitting, and Non-Normality.</w:t>
      </w:r>
    </w:p>
    <w:p>
      <w:r>
        <w:br w:type="page"/>
      </w:r>
    </w:p>
    <w:p>
      <w:pPr>
        <w:pStyle w:val="Heading1"/>
        <w:spacing w:before="480" w:after="240"/>
      </w:pPr>
      <w:r>
        <w:rPr>
          <w:rFonts w:ascii="微軟正黑體" w:hAnsi="微軟正黑體" w:eastAsia="微軟正黑體"/>
          <w:b/>
          <w:color w:val="1F3864"/>
          <w:sz w:val="32"/>
        </w:rPr>
        <w:t>附錄</w:t>
      </w:r>
    </w:p>
    <w:p>
      <w:pPr>
        <w:pStyle w:val="Heading2"/>
        <w:spacing w:before="320" w:after="160"/>
      </w:pPr>
      <w:r>
        <w:rPr>
          <w:rFonts w:ascii="微軟正黑體" w:hAnsi="微軟正黑體" w:eastAsia="微軟正黑體"/>
          <w:b/>
          <w:color w:val="2E5395"/>
          <w:sz w:val="26"/>
        </w:rPr>
        <w:t>附錄 A：系統超參數總表</w:t>
      </w:r>
    </w:p>
    <w:p>
      <w:pPr>
        <w:spacing w:after="160" w:line="300" w:lineRule="exact"/>
        <w:jc w:val="both"/>
      </w:pPr>
      <w:r>
        <w:rPr>
          <w:rFonts w:ascii="微軟正黑體" w:hAnsi="微軟正黑體" w:eastAsia="微軟正黑體"/>
          <w:sz w:val="22"/>
        </w:rPr>
        <w:t>整理自 configs/Config.m，涵蓋特徵工程、VQ-VAE、GBDT、強化學習、交易成本模型等各模組之完整超參數設定，供複現實驗參考。</w:t>
      </w:r>
    </w:p>
    <w:p>
      <w:pPr>
        <w:pStyle w:val="Heading2"/>
        <w:spacing w:before="320" w:after="160"/>
      </w:pPr>
      <w:r>
        <w:rPr>
          <w:rFonts w:ascii="微軟正黑體" w:hAnsi="微軟正黑體" w:eastAsia="微軟正黑體"/>
          <w:b/>
          <w:color w:val="2E5395"/>
          <w:sz w:val="26"/>
        </w:rPr>
        <w:t>附錄 B：程式碼模組對照表</w:t>
      </w:r>
    </w:p>
    <w:p>
      <w:pPr>
        <w:spacing w:after="160" w:line="300" w:lineRule="exact"/>
        <w:jc w:val="both"/>
      </w:pPr>
      <w:r>
        <w:rPr>
          <w:rFonts w:ascii="微軟正黑體" w:hAnsi="微軟正黑體" w:eastAsia="微軟正黑體"/>
          <w:sz w:val="22"/>
        </w:rPr>
        <w:t>列出各章節所述模組與實際程式碼檔案路徑之對照（如 3.4 節 VQ-VAE 對應 agents/VQVAEAgent.m 與 models/EMAQuantizer.m），便於口試委員或後續研究者查核。</w:t>
      </w:r>
    </w:p>
    <w:p>
      <w:pPr>
        <w:pStyle w:val="Heading2"/>
        <w:spacing w:before="320" w:after="160"/>
      </w:pPr>
      <w:r>
        <w:rPr>
          <w:rFonts w:ascii="微軟正黑體" w:hAnsi="微軟正黑體" w:eastAsia="微軟正黑體"/>
          <w:b/>
          <w:color w:val="2E5395"/>
          <w:sz w:val="26"/>
        </w:rPr>
        <w:t>附錄 C：完整消融實驗原始輸出紀錄</w:t>
      </w:r>
    </w:p>
    <w:p>
      <w:pPr>
        <w:spacing w:after="160" w:line="300" w:lineRule="exact"/>
        <w:jc w:val="both"/>
      </w:pPr>
      <w:r>
        <w:rPr>
          <w:rFonts w:ascii="微軟正黑體" w:hAnsi="微軟正黑體" w:eastAsia="微軟正黑體"/>
          <w:sz w:val="22"/>
        </w:rPr>
        <w:t>附上 results/reports/消融實驗紀錄.txt 與執行過程.txt 之完整終端機輸出，作為第五章數據之原始佐證。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軟正黑體" w:hAnsi="微軟正黑體" w:eastAsia="微軟正黑體"/>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