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2F28" w14:textId="77777777" w:rsidR="00F46F60" w:rsidRPr="00F46F60" w:rsidRDefault="00F46F60" w:rsidP="00F46F60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證據說明書</w:t>
      </w:r>
    </w:p>
    <w:p w14:paraId="348DF8A2" w14:textId="1C97E40D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案號：114年度偵字第13946號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="001D20D9" w:rsidRPr="001D20D9">
        <w:rPr>
          <w:rFonts w:ascii="標楷體" w:eastAsia="標楷體" w:hAnsi="標楷體"/>
          <w:b/>
          <w:bCs/>
          <w:sz w:val="32"/>
          <w:szCs w:val="32"/>
        </w:rPr>
        <w:t>黃笠杰</w:t>
      </w:r>
    </w:p>
    <w:p w14:paraId="4588364B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AF07CC4">
          <v:rect id="_x0000_i1025" style="width:0;height:1.5pt" o:hralign="center" o:hrstd="t" o:hr="t" fillcolor="#a0a0a0" stroked="f"/>
        </w:pict>
      </w:r>
    </w:p>
    <w:p w14:paraId="1597B41D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一、就原不起訴處分認定「證據不足」部分之反駁</w:t>
      </w:r>
    </w:p>
    <w:p w14:paraId="77E58058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（一）原處分認為LINE對話不足以證明收取不當利息</w:t>
      </w:r>
    </w:p>
    <w:p w14:paraId="3A79989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然再議人所提出之證據1（LINE對話紀錄），並非孤立存在，應與錄音證據併同整體觀察。</w:t>
      </w:r>
    </w:p>
    <w:p w14:paraId="65DEE264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證據1顯示：</w:t>
      </w:r>
    </w:p>
    <w:p w14:paraId="32A00FDD" w14:textId="77777777" w:rsidR="00F46F60" w:rsidRPr="00F46F60" w:rsidRDefault="00F46F60" w:rsidP="00F46F60">
      <w:pPr>
        <w:numPr>
          <w:ilvl w:val="0"/>
          <w:numId w:val="1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被告通知車輛已流當及出售</w:t>
      </w:r>
    </w:p>
    <w:p w14:paraId="418D5C97" w14:textId="77777777" w:rsidR="00F46F60" w:rsidRPr="00F46F60" w:rsidRDefault="00F46F60" w:rsidP="00F46F60">
      <w:pPr>
        <w:numPr>
          <w:ilvl w:val="0"/>
          <w:numId w:val="1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要求再議人取回私人物品</w:t>
      </w:r>
    </w:p>
    <w:p w14:paraId="6725D562" w14:textId="77777777" w:rsidR="00F46F60" w:rsidRPr="00F46F60" w:rsidRDefault="00F46F60" w:rsidP="00F46F60">
      <w:pPr>
        <w:numPr>
          <w:ilvl w:val="0"/>
          <w:numId w:val="1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表示資料已銷毀</w:t>
      </w:r>
    </w:p>
    <w:p w14:paraId="31780A36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上開內容與借貸關係及處分行為具有直接關聯，並非單純片段對話。</w:t>
      </w:r>
    </w:p>
    <w:p w14:paraId="652C8BE3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再配合證據2、證據3（錄音譯文），已可形成完整證據鏈，證明被告確有收取費用及處分擔保物之事實。</w:t>
      </w:r>
    </w:p>
    <w:p w14:paraId="78FF6E3C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原處分僅以「對方未回應」否認證據價值，顯屬證據評價</w:t>
      </w: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過於片面。</w:t>
      </w:r>
    </w:p>
    <w:p w14:paraId="7A34EDC7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6EF2F2A">
          <v:rect id="_x0000_i1026" style="width:0;height:1.5pt" o:hralign="center" o:hrstd="t" o:hr="t" fillcolor="#a0a0a0" stroked="f"/>
        </w:pict>
      </w:r>
    </w:p>
    <w:p w14:paraId="5B92E068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（二）原處分認為無法證明實際收費內容</w:t>
      </w:r>
    </w:p>
    <w:p w14:paraId="2CB7CC06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然依證據2（錄音譯文）明確記載：</w:t>
      </w:r>
    </w:p>
    <w:p w14:paraId="221ADEA5" w14:textId="77777777" w:rsidR="00F46F60" w:rsidRPr="00F46F60" w:rsidRDefault="00F46F60" w:rsidP="00F46F60">
      <w:pPr>
        <w:numPr>
          <w:ilvl w:val="0"/>
          <w:numId w:val="2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利息三個月為9,000元</w:t>
      </w:r>
    </w:p>
    <w:p w14:paraId="7BDC18F5" w14:textId="77777777" w:rsidR="00F46F60" w:rsidRPr="00F46F60" w:rsidRDefault="00F46F60" w:rsidP="00F46F60">
      <w:pPr>
        <w:numPr>
          <w:ilvl w:val="0"/>
          <w:numId w:val="2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停車費三個月為6,000元</w:t>
      </w:r>
    </w:p>
    <w:p w14:paraId="45B677F9" w14:textId="77777777" w:rsidR="00F46F60" w:rsidRPr="00F46F60" w:rsidRDefault="00F46F60" w:rsidP="00F46F60">
      <w:pPr>
        <w:numPr>
          <w:ilvl w:val="0"/>
          <w:numId w:val="2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每月停車費為2,000元</w:t>
      </w:r>
    </w:p>
    <w:p w14:paraId="042566CC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此為被告方親自陳述之內容，非再議人單方主張。</w:t>
      </w:r>
    </w:p>
    <w:p w14:paraId="29E563B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上開「停車費」係依借款期間按月計收，與利息性質相同，應認屬變相利息。</w:t>
      </w:r>
    </w:p>
    <w:p w14:paraId="602E775B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依當舖業法第20條規定，當舖業不得收取利息及倉棧費以外費用，顯見被告已違反法令。</w:t>
      </w:r>
    </w:p>
    <w:p w14:paraId="71A5DA23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60F12E6E">
          <v:rect id="_x0000_i1027" style="width:0;height:1.5pt" o:hralign="center" o:hrstd="t" o:hr="t" fillcolor="#a0a0a0" stroked="f"/>
        </w:pict>
      </w:r>
    </w:p>
    <w:p w14:paraId="02AE6921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（三）原處分未審酌預扣利息之事實</w:t>
      </w:r>
    </w:p>
    <w:p w14:paraId="7803C691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依證據3（錄音譯文）顯示，再議人於借款時已遭預扣第一期利息及相關費用。</w:t>
      </w:r>
    </w:p>
    <w:p w14:paraId="43E58FA1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再議人借款40,000元，實際取得約35,000元，差額約</w:t>
      </w: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5,000元。</w:t>
      </w:r>
    </w:p>
    <w:p w14:paraId="58C3F41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此種於借款時即扣除利息之方式，已違反當舖業法第19條「不得預扣利息」之規定。</w:t>
      </w:r>
    </w:p>
    <w:p w14:paraId="7077358C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原處分未審酌此一重要事實，即認無不法，顯有重大疏漏。</w:t>
      </w:r>
    </w:p>
    <w:p w14:paraId="284E21FD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1F8F1970">
          <v:rect id="_x0000_i1028" style="width:0;height:1.5pt" o:hralign="center" o:hrstd="t" o:hr="t" fillcolor="#a0a0a0" stroked="f"/>
        </w:pict>
      </w:r>
    </w:p>
    <w:p w14:paraId="587AB090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（四）原處分未正確認定利息計算方式違法</w:t>
      </w:r>
    </w:p>
    <w:p w14:paraId="75D4735A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依證據3顯示，被告以「滿三個月即收三期」方式計算，且未適用滿當後五日寬限期。</w:t>
      </w:r>
    </w:p>
    <w:p w14:paraId="725A4B3D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再議人於114年3月3日清償，尚未逾法定五日期間，依法不應再計收一整期利息。</w:t>
      </w:r>
    </w:p>
    <w:p w14:paraId="0D0553A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然被告仍要求支付三期利息，顯已違反當舖業法第21條規定。</w:t>
      </w:r>
    </w:p>
    <w:p w14:paraId="206613B1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FCFB19B">
          <v:rect id="_x0000_i1029" style="width:0;height:1.5pt" o:hralign="center" o:hrstd="t" o:hr="t" fillcolor="#a0a0a0" stroked="f"/>
        </w:pict>
      </w:r>
    </w:p>
    <w:p w14:paraId="070E3CBB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（五）原處分未審酌提前流當之違法行為</w:t>
      </w:r>
    </w:p>
    <w:p w14:paraId="483C73BA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依證據2及證據1顯示：</w:t>
      </w:r>
    </w:p>
    <w:p w14:paraId="52307D56" w14:textId="77777777" w:rsidR="00F46F60" w:rsidRPr="00F46F60" w:rsidRDefault="00F46F60" w:rsidP="00F46F60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再議人詢問筆電尚未到期</w:t>
      </w:r>
    </w:p>
    <w:p w14:paraId="2945331F" w14:textId="77777777" w:rsidR="00F46F60" w:rsidRPr="00F46F60" w:rsidRDefault="00F46F60" w:rsidP="00F46F60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被告仍表示「已流當」</w:t>
      </w:r>
    </w:p>
    <w:p w14:paraId="5EC6EECC" w14:textId="77777777" w:rsidR="00F46F60" w:rsidRPr="00F46F60" w:rsidRDefault="00F46F60" w:rsidP="00F46F60">
      <w:pPr>
        <w:numPr>
          <w:ilvl w:val="0"/>
          <w:numId w:val="3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車輛亦已出售處分</w:t>
      </w:r>
    </w:p>
    <w:p w14:paraId="10C3ED57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顯示被告於未屆法定期限前，即逕行處分質當物。</w:t>
      </w:r>
    </w:p>
    <w:p w14:paraId="4774E54B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此行為已侵害再議人財產權，亦屬違法經營行為。</w:t>
      </w:r>
    </w:p>
    <w:p w14:paraId="6A8D3B0C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6DDD71EE">
          <v:rect id="_x0000_i1030" style="width:0;height:1.5pt" o:hralign="center" o:hrstd="t" o:hr="t" fillcolor="#a0a0a0" stroked="f"/>
        </w:pict>
      </w:r>
    </w:p>
    <w:p w14:paraId="471F1C2B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（六）關於被告規避金流之行為</w:t>
      </w:r>
    </w:p>
    <w:p w14:paraId="0F886B2D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依證據1顯示，再議人曾要求提供匯款帳戶資料，然被告明確表示僅接受現金交易，並拒絕提供帳戶。</w:t>
      </w:r>
    </w:p>
    <w:p w14:paraId="7F8450BF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此種僅收現金之交易方式，客觀上增加交易不透明性，亦有規避查核之可能，應納入整體不法判斷。</w:t>
      </w:r>
    </w:p>
    <w:p w14:paraId="121AA075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6368A381">
          <v:rect id="_x0000_i1031" style="width:0;height:1.5pt" o:hralign="center" o:hrstd="t" o:hr="t" fillcolor="#a0a0a0" stroked="f"/>
        </w:pict>
      </w:r>
    </w:p>
    <w:p w14:paraId="228A5FBA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二、證據整體評價</w:t>
      </w:r>
    </w:p>
    <w:p w14:paraId="31873764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本案證據並非單一來源，而係由：</w:t>
      </w:r>
    </w:p>
    <w:p w14:paraId="2B64C27C" w14:textId="77777777" w:rsidR="00F46F60" w:rsidRPr="00F46F60" w:rsidRDefault="00F46F60" w:rsidP="00F46F60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LINE對話紀錄（證據1）</w:t>
      </w:r>
    </w:p>
    <w:p w14:paraId="5385C9A4" w14:textId="77777777" w:rsidR="00F46F60" w:rsidRPr="00F46F60" w:rsidRDefault="00F46F60" w:rsidP="00F46F60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錄音譯文（證據2、證據3）</w:t>
      </w:r>
    </w:p>
    <w:p w14:paraId="4E957411" w14:textId="77777777" w:rsidR="00F46F60" w:rsidRPr="00F46F60" w:rsidRDefault="00F46F60" w:rsidP="00F46F60">
      <w:pPr>
        <w:numPr>
          <w:ilvl w:val="0"/>
          <w:numId w:val="4"/>
        </w:num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借款金額與實際取得金額差異</w:t>
      </w:r>
    </w:p>
    <w:p w14:paraId="569281B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共同構成完整事實鏈，足以證明：</w:t>
      </w:r>
    </w:p>
    <w:p w14:paraId="4D867B7B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lastRenderedPageBreak/>
        <w:t>（一）被告收取變相利息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（二）被告預扣利息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（三）被告違法計算利息</w:t>
      </w:r>
      <w:r w:rsidRPr="00F46F60">
        <w:rPr>
          <w:rFonts w:ascii="標楷體" w:eastAsia="標楷體" w:hAnsi="標楷體"/>
          <w:b/>
          <w:bCs/>
          <w:sz w:val="32"/>
          <w:szCs w:val="32"/>
        </w:rPr>
        <w:br/>
        <w:t>（四）被告提前處分質物</w:t>
      </w:r>
    </w:p>
    <w:p w14:paraId="3B3BF427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原處分未就上開證據整體判斷，而採分割評價，致認定結果失真。</w:t>
      </w:r>
    </w:p>
    <w:p w14:paraId="0612472D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055895E">
          <v:rect id="_x0000_i1032" style="width:0;height:1.5pt" o:hralign="center" o:hrstd="t" o:hr="t" fillcolor="#a0a0a0" stroked="f"/>
        </w:pict>
      </w:r>
    </w:p>
    <w:p w14:paraId="06413602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三、結論</w:t>
      </w:r>
    </w:p>
    <w:p w14:paraId="0EC1A819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本案已具體呈現被告違反當舖業法及變相收取高利之行為，並非單純民事借貸糾紛。</w:t>
      </w:r>
    </w:p>
    <w:p w14:paraId="365A717E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原不起訴處分認定犯罪嫌疑不足，係基於證據評價錯誤及調查未盡。</w:t>
      </w:r>
    </w:p>
    <w:p w14:paraId="46C0C145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為維護再議人權益，請求撤銷原處分，發回續行偵查。</w:t>
      </w:r>
    </w:p>
    <w:p w14:paraId="6BC34D61" w14:textId="77777777" w:rsidR="00F46F60" w:rsidRPr="00F46F60" w:rsidRDefault="00000000" w:rsidP="00F46F60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2C83BE81">
          <v:rect id="_x0000_i1033" style="width:0;height:1.5pt" o:hralign="center" o:hrstd="t" o:hr="t" fillcolor="#a0a0a0" stroked="f"/>
        </w:pict>
      </w:r>
    </w:p>
    <w:p w14:paraId="3E7C6FDC" w14:textId="716651F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再議人：</w:t>
      </w:r>
      <w:r w:rsidR="001D20D9" w:rsidRPr="001D20D9">
        <w:rPr>
          <w:rFonts w:ascii="標楷體" w:eastAsia="標楷體" w:hAnsi="標楷體"/>
          <w:b/>
          <w:bCs/>
          <w:sz w:val="32"/>
          <w:szCs w:val="32"/>
        </w:rPr>
        <w:t>黃笠杰</w:t>
      </w:r>
    </w:p>
    <w:p w14:paraId="46DC1ADF" w14:textId="77777777" w:rsidR="00F46F60" w:rsidRPr="00F46F60" w:rsidRDefault="00F46F60" w:rsidP="00F46F60">
      <w:pPr>
        <w:rPr>
          <w:rFonts w:ascii="標楷體" w:eastAsia="標楷體" w:hAnsi="標楷體"/>
          <w:b/>
          <w:bCs/>
          <w:sz w:val="32"/>
          <w:szCs w:val="32"/>
        </w:rPr>
      </w:pPr>
      <w:r w:rsidRPr="00F46F60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63B59279" w14:textId="77777777" w:rsidR="00A14641" w:rsidRPr="00F46F60" w:rsidRDefault="00A14641" w:rsidP="00F46F60"/>
    <w:sectPr w:rsidR="00A14641" w:rsidRPr="00F46F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ECF39" w14:textId="77777777" w:rsidR="00EC0064" w:rsidRDefault="00EC0064" w:rsidP="00F46F60">
      <w:pPr>
        <w:spacing w:after="0" w:line="240" w:lineRule="auto"/>
      </w:pPr>
      <w:r>
        <w:separator/>
      </w:r>
    </w:p>
  </w:endnote>
  <w:endnote w:type="continuationSeparator" w:id="0">
    <w:p w14:paraId="6A51E4AF" w14:textId="77777777" w:rsidR="00EC0064" w:rsidRDefault="00EC0064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8133" w14:textId="77777777" w:rsidR="00EC0064" w:rsidRDefault="00EC0064" w:rsidP="00F46F60">
      <w:pPr>
        <w:spacing w:after="0" w:line="240" w:lineRule="auto"/>
      </w:pPr>
      <w:r>
        <w:separator/>
      </w:r>
    </w:p>
  </w:footnote>
  <w:footnote w:type="continuationSeparator" w:id="0">
    <w:p w14:paraId="71E4B86B" w14:textId="77777777" w:rsidR="00EC0064" w:rsidRDefault="00EC0064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3"/>
  </w:num>
  <w:num w:numId="2" w16cid:durableId="769393021">
    <w:abstractNumId w:val="0"/>
  </w:num>
  <w:num w:numId="3" w16cid:durableId="1985498247">
    <w:abstractNumId w:val="2"/>
  </w:num>
  <w:num w:numId="4" w16cid:durableId="6161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C4F32"/>
    <w:rsid w:val="000E5B70"/>
    <w:rsid w:val="001D20D9"/>
    <w:rsid w:val="00453525"/>
    <w:rsid w:val="007E30B1"/>
    <w:rsid w:val="00952325"/>
    <w:rsid w:val="00A14641"/>
    <w:rsid w:val="00EC0064"/>
    <w:rsid w:val="00F4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4</cp:revision>
  <dcterms:created xsi:type="dcterms:W3CDTF">2026-04-24T07:54:00Z</dcterms:created>
  <dcterms:modified xsi:type="dcterms:W3CDTF">2026-04-27T13:50:00Z</dcterms:modified>
</cp:coreProperties>
</file>