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08EC3" w14:textId="31F34764" w:rsidR="00A14641" w:rsidRDefault="00E9368A">
      <w:r>
        <w:rPr>
          <w:noProof/>
        </w:rPr>
        <w:drawing>
          <wp:inline distT="0" distB="0" distL="0" distR="0" wp14:anchorId="73CD5457" wp14:editId="4F39918B">
            <wp:extent cx="3981450" cy="7353300"/>
            <wp:effectExtent l="0" t="0" r="0" b="0"/>
            <wp:docPr id="11375473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B751D" w14:textId="18AA5638" w:rsidR="00E9368A" w:rsidRDefault="00E9368A">
      <w:pPr>
        <w:rPr>
          <w:rFonts w:hint="eastAsia"/>
        </w:rPr>
      </w:pPr>
      <w:r w:rsidRPr="00E9368A">
        <w:t>圖</w:t>
      </w:r>
      <w:r w:rsidRPr="00E9368A">
        <w:t>1</w:t>
      </w:r>
      <w:r w:rsidRPr="00E9368A">
        <w:t>：當舖通知告訴人款項已逾期三個月，並表示車輛將進行流當出售，顯示當舖已逕行處分擔保物。</w:t>
      </w:r>
    </w:p>
    <w:sectPr w:rsidR="00E936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68A"/>
    <w:rsid w:val="00453525"/>
    <w:rsid w:val="005A462D"/>
    <w:rsid w:val="00A14641"/>
    <w:rsid w:val="00E93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4031B"/>
  <w15:chartTrackingRefBased/>
  <w15:docId w15:val="{6D027B9F-A761-485E-865A-C317C5D9E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36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68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68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68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68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68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68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936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93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9368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93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9368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9368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9368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9368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936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36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93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6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936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3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936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36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36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3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936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3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1</cp:revision>
  <dcterms:created xsi:type="dcterms:W3CDTF">2026-04-27T13:14:00Z</dcterms:created>
  <dcterms:modified xsi:type="dcterms:W3CDTF">2026-04-27T13:16:00Z</dcterms:modified>
</cp:coreProperties>
</file>