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A4F9" w14:textId="148CE2B4" w:rsidR="00A14641" w:rsidRDefault="003E5F6A">
      <w:r>
        <w:rPr>
          <w:noProof/>
        </w:rPr>
        <w:drawing>
          <wp:inline distT="0" distB="0" distL="0" distR="0" wp14:anchorId="4B8483D6" wp14:editId="3E4CE3E7">
            <wp:extent cx="3981450" cy="7429500"/>
            <wp:effectExtent l="0" t="0" r="0" b="0"/>
            <wp:docPr id="11994083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56FE" w14:textId="14675388" w:rsidR="003E5F6A" w:rsidRDefault="003E5F6A">
      <w:pPr>
        <w:rPr>
          <w:rFonts w:hint="eastAsia"/>
        </w:rPr>
      </w:pPr>
      <w:r w:rsidRPr="003E5F6A">
        <w:t>圖</w:t>
      </w:r>
      <w:r>
        <w:rPr>
          <w:rFonts w:hint="eastAsia"/>
        </w:rPr>
        <w:t>4</w:t>
      </w:r>
      <w:r w:rsidRPr="003E5F6A">
        <w:t>：當舖表示僅接受現金交易，且公司無帳戶，顯示交易金流不透明，與一般合法金融機構運作不符。</w:t>
      </w:r>
    </w:p>
    <w:sectPr w:rsidR="003E5F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6A"/>
    <w:rsid w:val="00226D48"/>
    <w:rsid w:val="003E5F6A"/>
    <w:rsid w:val="00453525"/>
    <w:rsid w:val="00A1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5D0FE"/>
  <w15:chartTrackingRefBased/>
  <w15:docId w15:val="{0BA102D1-EBC7-4A32-8CF4-D2B08402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5F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F6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F6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F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F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F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F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5F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5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5F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5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5F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5F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5F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5F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5F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F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F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5F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5F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F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F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5F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5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2026-04-27T13:19:00Z</dcterms:created>
  <dcterms:modified xsi:type="dcterms:W3CDTF">2026-04-27T13:20:00Z</dcterms:modified>
</cp:coreProperties>
</file>