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115D" w14:textId="1EE87953" w:rsidR="00A14641" w:rsidRDefault="00F64B45">
      <w:r>
        <w:rPr>
          <w:noProof/>
        </w:rPr>
        <w:drawing>
          <wp:inline distT="0" distB="0" distL="0" distR="0" wp14:anchorId="419CD0AC" wp14:editId="10F1F484">
            <wp:extent cx="3981450" cy="6991350"/>
            <wp:effectExtent l="0" t="0" r="0" b="0"/>
            <wp:docPr id="10194566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5483" w14:textId="0C4C4E8C" w:rsidR="00F64B45" w:rsidRDefault="00F64B45">
      <w:pPr>
        <w:rPr>
          <w:rFonts w:hint="eastAsia"/>
        </w:rPr>
      </w:pPr>
      <w:r w:rsidRPr="00F64B45">
        <w:t>圖</w:t>
      </w:r>
      <w:r>
        <w:rPr>
          <w:rFonts w:hint="eastAsia"/>
        </w:rPr>
        <w:t>5</w:t>
      </w:r>
      <w:r w:rsidRPr="00F64B45">
        <w:t>：當舖將利息及相關費用以三個月計算，顯示費用結構不合理，可能涉及重利計算方式。</w:t>
      </w:r>
    </w:p>
    <w:sectPr w:rsidR="00F64B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45"/>
    <w:rsid w:val="00226D48"/>
    <w:rsid w:val="00453525"/>
    <w:rsid w:val="00A14641"/>
    <w:rsid w:val="00F6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4150"/>
  <w15:chartTrackingRefBased/>
  <w15:docId w15:val="{0CA635D7-F59E-4E46-86E1-D76C3882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4B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B4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B4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B4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B4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B4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B4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4B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64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64B4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6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64B4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64B4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64B4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64B4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64B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4B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6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B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64B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64B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B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B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64B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4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1</cp:revision>
  <dcterms:created xsi:type="dcterms:W3CDTF">2026-04-27T13:20:00Z</dcterms:created>
  <dcterms:modified xsi:type="dcterms:W3CDTF">2026-04-27T13:22:00Z</dcterms:modified>
</cp:coreProperties>
</file>