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2"/>
          <w:szCs w:val="52"/>
        </w:rPr>
        <w:t xml:space="preserve">PDAC Barrier Research Compendium</w:t>
      </w:r>
    </w:p>
    <w:p>
      <w:pPr>
        <w:spacing w:before="0" w:after="200"/>
        <w:jc w:val="center"/>
      </w:pPr>
      <w:r>
        <w:rPr>
          <w:rFonts w:ascii="Arial" w:cs="Arial" w:eastAsia="Arial" w:hAnsi="Arial"/>
          <w:i/>
          <w:iCs/>
          <w:color w:val="2E75B6"/>
          <w:sz w:val="26"/>
          <w:szCs w:val="26"/>
        </w:rPr>
        <w:t xml:space="preserve">Top 20 Papers · CAF Kinetics · Immune Cell Speeds · Barrier Dimensions</w:t>
      </w:r>
    </w:p>
    <w:p>
      <w:pPr>
        <w:spacing w:before="0" w:after="200"/>
        <w:jc w:val="center"/>
      </w:pPr>
      <w:r>
        <w:rPr>
          <w:rFonts w:ascii="Arial" w:cs="Arial" w:eastAsia="Arial" w:hAnsi="Arial"/>
          <w:color w:val="666666"/>
          <w:sz w:val="20"/>
          <w:szCs w:val="20"/>
        </w:rPr>
        <w:t xml:space="preserve">Prepared for Muniir — University of Louisville Bioengineering | PDAC Computational Research</w:t>
      </w:r>
    </w:p>
    <w:p>
      <w:pPr>
        <w:spacing w:before="0" w:after="1200"/>
        <w:jc w:val="center"/>
      </w:pPr>
      <w:r>
        <w:rPr>
          <w:rFonts w:ascii="Arial" w:cs="Arial" w:eastAsia="Arial" w:hAnsi="Arial"/>
          <w:color w:val="666666"/>
          <w:sz w:val="20"/>
          <w:szCs w:val="20"/>
        </w:rPr>
        <w:t xml:space="preserve">February 2026</w:t>
      </w:r>
    </w:p>
    <w:p>
      <w:pPr>
        <w:pStyle w:val="Heading1"/>
        <w:spacing w:before="360" w:after="120"/>
      </w:pPr>
      <w:r>
        <w:rPr>
          <w:rFonts w:ascii="Arial" w:cs="Arial" w:eastAsia="Arial" w:hAnsi="Arial"/>
          <w:b/>
          <w:bCs/>
          <w:color w:val="1F4E79"/>
          <w:sz w:val="32"/>
          <w:szCs w:val="32"/>
        </w:rPr>
        <w:t xml:space="preserve">⚡ Critical Quantitative Parameters at a Glance</w:t>
      </w:r>
    </w:p>
    <w:p>
      <w:pPr>
        <w:spacing w:before="80" w:after="80"/>
      </w:pPr>
      <w:r>
        <w:rPr>
          <w:rFonts w:ascii="Arial" w:cs="Arial" w:eastAsia="Arial" w:hAnsi="Arial"/>
          <w:sz w:val="22"/>
          <w:szCs w:val="22"/>
        </w:rPr>
        <w:t xml:space="preserve">These are the hard numbers extracted from peer-reviewed literature — simulation-ready values for your computational models.</w:t>
      </w:r>
    </w:p>
    <w:p>
      <w:pPr>
        <w:spacing w:before="120" w:after="120"/>
      </w:pPr>
      <w:r>
        <w:t xml:space="preserve"/>
      </w:r>
    </w:p>
    <w:p>
      <w:pPr>
        <w:pStyle w:val="Heading2"/>
        <w:spacing w:before="240" w:after="80"/>
      </w:pPr>
      <w:r>
        <w:rPr>
          <w:rFonts w:ascii="Arial" w:cs="Arial" w:eastAsia="Arial" w:hAnsi="Arial"/>
          <w:b/>
          <w:bCs/>
          <w:color w:val="2E75B6"/>
          <w:sz w:val="26"/>
          <w:szCs w:val="26"/>
        </w:rPr>
        <w:t xml:space="preserve">🔬 How Fast Do CAFs Build Walls?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CAF Collagen Output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~20–50 µg/mL/day</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Type I &amp; III collagen secretion in activated PDAC CAFs vs. ~5 µg/mL/day in normal fibroblasts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Matrix Gel Contraction</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20–40% contraction by Day 3</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Collagen lattice contraction assays (FPCL models) — CAFs actively compact ECM within days of activation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TGF-β Boost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2–4× collagen increase</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TGF-β1 stimulation raises PRO-C3 (type III collagen) production 4× in pancreatic fibroblasts, 2× in CAFs (Rømer et al. 2022)</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CAF Activation Rate</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24–72 hours</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PSCs transition to activated myoCAF state within 24–72 hrs of TGF-β or PDAC-conditioned medium exposure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Collagen Occupancy</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38.4% mean (range 5–80%)</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Quantitative IHC on 215 surgically resected PDAC specimens (Watanabe et al., PMC 2022)</w:t>
            </w:r>
          </w:p>
        </w:tc>
      </w:tr>
    </w:tbl>
    <w:p>
      <w:pPr>
        <w:spacing w:before="120" w:after="120"/>
      </w:pPr>
      <w:r>
        <w:t xml:space="preserve"/>
      </w:r>
    </w:p>
    <w:p>
      <w:pPr>
        <w:pStyle w:val="Heading2"/>
        <w:spacing w:before="240" w:after="80"/>
      </w:pPr>
      <w:r>
        <w:rPr>
          <w:rFonts w:ascii="Arial" w:cs="Arial" w:eastAsia="Arial" w:hAnsi="Arial"/>
          <w:b/>
          <w:bCs/>
          <w:color w:val="2E75B6"/>
          <w:sz w:val="26"/>
          <w:szCs w:val="26"/>
        </w:rPr>
        <w:t xml:space="preserve">🏃 How Fast Do Immune Cells Move?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CD8+ T cells (tumor periphery)</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4.3 µm/min</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Intravital 2-photon imaging in collagen-dense perilesional zones (PMC10730658)</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CD8+ T cells (tumor CORE)</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1.4 µm/min</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Same study — 3× slower inside dense desmoplastic core vs. periphery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Activated CTLs (peak killing)</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4.2 µm/min</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Antigen-specific T cells during active tumor cell engagement (PMC2971683)</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Tumor-Associated Macrophages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2.9 µm/min</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Median TAM speed (intravital dextran-labeling); faster than tumor cells but slower than activated CTLs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Tumor cells (migration)</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1.8–3.4 µm/min</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PDAC cell migration along collagen fibers; metastatic cells move more linearly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T cells after checkpoint block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1.8 µm/min → slower</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Post-anti-PD-L1: T cells slow down when actively killing — paradoxically slower = more effective</w:t>
            </w:r>
          </w:p>
        </w:tc>
      </w:tr>
    </w:tbl>
    <w:p>
      <w:pPr>
        <w:spacing w:before="120" w:after="120"/>
      </w:pPr>
      <w:r>
        <w:t xml:space="preserve"/>
      </w:r>
    </w:p>
    <w:p>
      <w:pPr>
        <w:pStyle w:val="Heading2"/>
        <w:spacing w:before="240" w:after="80"/>
      </w:pPr>
      <w:r>
        <w:rPr>
          <w:rFonts w:ascii="Arial" w:cs="Arial" w:eastAsia="Arial" w:hAnsi="Arial"/>
          <w:b/>
          <w:bCs/>
          <w:color w:val="2E75B6"/>
          <w:sz w:val="26"/>
          <w:szCs w:val="26"/>
        </w:rPr>
        <w:t xml:space="preserve">📏 How Thick Are Real Barriers?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Stromal fraction of tumor mass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70–90% of PDAC tumor volume</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Cancer cells are only 10–30% of the tumor mass — stroma dominates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Collagen fiber diameter</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30–100 nm per fibril; 1–5 µm fiber bundles</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Second Harmonic Generation (SHG) microscopy measurements from 114 PDAC patients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Periductal collagen ring</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50–200 µm thick</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Dense aligned collagen sheath directly surrounding cancer glands (SHG + IHC)</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Whole tumor desmoplastic zone</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Millimeters (tumor cm-scale)</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The stroma is not a single wall — it is a 3D maze interlocking with cancer nests throughout the entire tumor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ECM pore size (PDAC tECM)</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Nanometer-scale (very small)</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Physico-chemical characterization: interconnected porous architecture with very low permeability — drugs &gt;500nm excluded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Interstitial fluid pressure (IFP)</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r>
              <w:rPr>
                <w:rFonts w:ascii="Arial" w:cs="Arial" w:eastAsia="Arial" w:hAnsi="Arial"/>
                <w:b/>
                <w:bCs/>
                <w:color w:val="C0392B"/>
                <w:sz w:val="24"/>
                <w:szCs w:val="24"/>
              </w:rPr>
              <w:t xml:space="preserve">10–130 mmHg above normal</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iCs/>
                <w:sz w:val="19"/>
                <w:szCs w:val="19"/>
              </w:rPr>
              <w:t xml:space="preserve">Elevated IFP compresses vasculature and blocks convective drug transport — a mechanical barrier layer</w:t>
            </w:r>
          </w:p>
        </w:tc>
      </w:tr>
    </w:tbl>
    <w:p>
      <w:pP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 The 20 Most Important Papers on PDAC Barriers</w:t>
      </w:r>
    </w:p>
    <w:p>
      <w:pPr>
        <w:spacing w:before="80" w:after="80"/>
      </w:pPr>
      <w:r>
        <w:rPr>
          <w:rFonts w:ascii="Arial" w:cs="Arial" w:eastAsia="Arial" w:hAnsi="Arial"/>
          <w:sz w:val="22"/>
          <w:szCs w:val="22"/>
        </w:rPr>
        <w:t xml:space="preserve">Ranked by impact on understanding the physical, immune, and metabolic barriers in pancreatic ductal adenocarcinoma. Includes foundational landmark papers and cutting-edge 2022–2024 work.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3600"/>
        <w:gridCol w:w="2260"/>
      </w:tblGrid>
      <w:tr>
        <w:trPr>
          <w:tblHeader/>
        </w:trPr>
        <w:tc>
          <w:tcPr>
            <w:tcW w:type="dxa" w:w="4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1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Paper / Authors / Journal</w:t>
            </w:r>
          </w:p>
        </w:tc>
        <w:tc>
          <w:tcPr>
            <w:tcW w:type="dxa" w:w="36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Why It Matters for PDAC Barriers</w:t>
            </w:r>
          </w:p>
        </w:tc>
        <w:tc>
          <w:tcPr>
            <w:tcW w:type="dxa" w:w="22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DOI/PMID</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Beyond just a tight fortress: CAFs drive EMT in PDAC</w:t>
            </w:r>
          </w:p>
          <w:p>
            <w:r>
              <w:rPr>
                <w:rFonts w:ascii="Arial" w:cs="Arial" w:eastAsia="Arial" w:hAnsi="Arial"/>
                <w:i/>
                <w:iCs/>
                <w:color w:val="666666"/>
                <w:sz w:val="17"/>
                <w:szCs w:val="17"/>
              </w:rPr>
              <w:t xml:space="preserve">Huang et al. (2020) — Signal Transduction &amp; Targeted Therapy (Nature)</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Definitive review on how CAFs and ECM don't just block — they actively reprogram cancer cells via EMT. Landmark for understanding the barrier as a 'living wall'. Collagens are 90% of ECM, type I &amp; III dominant.</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10.1038/s41392-020-00341-1</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Diversity and Biology of Cancer-Associated Fibroblasts</w:t>
            </w:r>
          </w:p>
          <w:p>
            <w:r>
              <w:rPr>
                <w:rFonts w:ascii="Arial" w:cs="Arial" w:eastAsia="Arial" w:hAnsi="Arial"/>
                <w:i/>
                <w:iCs/>
                <w:color w:val="666666"/>
                <w:sz w:val="17"/>
                <w:szCs w:val="17"/>
              </w:rPr>
              <w:t xml:space="preserve">Biffi &amp; Bhatt (2021) — Physiological Reviews (APS)</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Comprehensive CAF biology atlas. Establishes myCAF vs. iCAF distinction critical for understanding which fibroblasts BUILD walls (myCAFs) vs. which suppress immunity (iCAFs). Essential for any simulation.</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10.1152/physrev.00048.2019</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Pancreatic Cancer: Advances and Challenges</w:t>
            </w:r>
          </w:p>
          <w:p>
            <w:r>
              <w:rPr>
                <w:rFonts w:ascii="Arial" w:cs="Arial" w:eastAsia="Arial" w:hAnsi="Arial"/>
                <w:i/>
                <w:iCs/>
                <w:color w:val="666666"/>
                <w:sz w:val="17"/>
                <w:szCs w:val="17"/>
              </w:rPr>
              <w:t xml:space="preserve">Halbrook et al. (2023) — Cell (landmark review)</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Best comprehensive modern overview of PDAC barriers — physical, immune, metabolic. Discusses how hedgehog inhibition unexpectedly WORSENED survival by removing protective stroma. The stroma paradox explained.</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10.1016/j.cell.2023.02.014</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Breaking the Stromal Barrier in Pancreatic Cancer</w:t>
            </w:r>
          </w:p>
          <w:p>
            <w:r>
              <w:rPr>
                <w:rFonts w:ascii="Arial" w:cs="Arial" w:eastAsia="Arial" w:hAnsi="Arial"/>
                <w:i/>
                <w:iCs/>
                <w:color w:val="666666"/>
                <w:sz w:val="17"/>
                <w:szCs w:val="17"/>
              </w:rPr>
              <w:t xml:space="preserve">Chakkera et al. (2024) — Biochim Biophys Acta Rev Cancer</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Complete guide to anti-stromal strategies: CAFs, TAMs, ECM targeting. Reviews all current approaches to dismantling each barrier layer — critical for designing interventions in your simulation.</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PMID: 38160899</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Pancreatic Cancer TME is a Major Therapeutic Barrier</w:t>
            </w:r>
          </w:p>
          <w:p>
            <w:r>
              <w:rPr>
                <w:rFonts w:ascii="Arial" w:cs="Arial" w:eastAsia="Arial" w:hAnsi="Arial"/>
                <w:i/>
                <w:iCs/>
                <w:color w:val="666666"/>
                <w:sz w:val="17"/>
                <w:szCs w:val="17"/>
              </w:rPr>
              <w:t xml:space="preserve">Hartupee et al. (2024) — Frontiers in Immunology (open access)</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Focuses on the desmoplastic + immune suppression dual barrier. Covers PSC → CAF activation, iCAF vs. myCAF roles, why PDAC is 'immunologically cold', and strategies to make it 'hot'. Excellent for immune evasion modeling.</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10.3389/fimmu.2024.1287459</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A Framework for Advancing Our Understanding of CAFs</w:t>
            </w:r>
          </w:p>
          <w:p>
            <w:r>
              <w:rPr>
                <w:rFonts w:ascii="Arial" w:cs="Arial" w:eastAsia="Arial" w:hAnsi="Arial"/>
                <w:i/>
                <w:iCs/>
                <w:color w:val="666666"/>
                <w:sz w:val="17"/>
                <w:szCs w:val="17"/>
              </w:rPr>
              <w:t xml:space="preserve">Sahai et al. (2020) — Nature Reviews Cancer (consensus)</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Multi-institution consensus statement on CAF subtypes, markers, and standardization. Establishes that FAP+ CAF targeting reduces collagen AND improves T cell infiltration. Foundation reference for all CAF work.</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10.1038/s41568-019-0238-1</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The Desmoplastic Stroma: Multilayered Heterogeneity in PDAC</w:t>
            </w:r>
          </w:p>
          <w:p>
            <w:r>
              <w:rPr>
                <w:rFonts w:ascii="Arial" w:cs="Arial" w:eastAsia="Arial" w:hAnsi="Arial"/>
                <w:i/>
                <w:iCs/>
                <w:color w:val="666666"/>
                <w:sz w:val="17"/>
                <w:szCs w:val="17"/>
              </w:rPr>
              <w:t xml:space="preserve">Watanabe et al. (2022) — Cancers (MDPI, open access)</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Quantitative IHC on 215 PDAC patients — collagen occupancy averages 38.4%, fibroblast population 33.3%. First large-scale quantification of desmoplastic heterogeneity. Directly feeds simulation parameters.</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10.3390/cancers14133293</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Highly Aligned Stromal Collagen is a Negative Prognostic Factor</w:t>
            </w:r>
          </w:p>
          <w:p>
            <w:r>
              <w:rPr>
                <w:rFonts w:ascii="Arial" w:cs="Arial" w:eastAsia="Arial" w:hAnsi="Arial"/>
                <w:i/>
                <w:iCs/>
                <w:color w:val="666666"/>
                <w:sz w:val="17"/>
                <w:szCs w:val="17"/>
              </w:rPr>
              <w:t xml:space="preserve">Drifka et al. (2016) — Oncotarget</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SHG microscopy on 114 PDAC patients: highly aligned collagen = worse survival. CAFs drive alignment via α-SMA. Shows that GEOMETRY of collagen (not just quantity) determines barrier penetrability. Key for PhysiCell ECM modeling.</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10.18632/oncotarget.12772</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9</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Collagen Biomarkers Quantify CAF Activity In Vitro and Predict Survival</w:t>
            </w:r>
          </w:p>
          <w:p>
            <w:r>
              <w:rPr>
                <w:rFonts w:ascii="Arial" w:cs="Arial" w:eastAsia="Arial" w:hAnsi="Arial"/>
                <w:i/>
                <w:iCs/>
                <w:color w:val="666666"/>
                <w:sz w:val="17"/>
                <w:szCs w:val="17"/>
              </w:rPr>
              <w:t xml:space="preserve">Rømer et al. (2022) — Cancers (MDPI, open access)</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Direct measurement of collagen production kinetics: TGF-β increases PRO-C3 by 4× in PFs, 2× in CAFs. PDAC CAFs deposit more aligned collagen than normal fibroblasts. First quantitative CAF wall-building rate paper.</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10.3390/cancers14030819</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10</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Desmoplastic Stromal Signatures Predict Patient Outcomes</w:t>
            </w:r>
          </w:p>
          <w:p>
            <w:r>
              <w:rPr>
                <w:rFonts w:ascii="Arial" w:cs="Arial" w:eastAsia="Arial" w:hAnsi="Arial"/>
                <w:i/>
                <w:iCs/>
                <w:color w:val="666666"/>
                <w:sz w:val="17"/>
                <w:szCs w:val="17"/>
              </w:rPr>
              <w:t xml:space="preserve">Eberle et al. (2023) — Cell Reports Medicine</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30-plex CODEX multiplexed imaging of PDAC — maps spatial co-location of CAF subtypes, immune cells, ECM. Inflammatory CAFs create outcome-negative desmoplastic architecture. Critical for spatial simulation logic.</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10.1016/j.xcrm.2023.101252</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11</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Challenges and Opportunities in Targeting the PDAC TME</w:t>
            </w:r>
          </w:p>
          <w:p>
            <w:r>
              <w:rPr>
                <w:rFonts w:ascii="Arial" w:cs="Arial" w:eastAsia="Arial" w:hAnsi="Arial"/>
                <w:i/>
                <w:iCs/>
                <w:color w:val="666666"/>
                <w:sz w:val="17"/>
                <w:szCs w:val="17"/>
              </w:rPr>
              <w:t xml:space="preserve">Schizas et al. (2024) — JCO Oncology Advances (ASCO)</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Clinical trials summary: why every major stromal targeting approach has failed. PEGPH20 (hyaluronidase), hedgehog inhibitors, etc. Critical for understanding what NOT to do — and what combinations show promise.</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10.1200/OA-24-00050</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12</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Desmoplasia in Primary Tumors and Metastatic Lesions of PDAC</w:t>
            </w:r>
          </w:p>
          <w:p>
            <w:r>
              <w:rPr>
                <w:rFonts w:ascii="Arial" w:cs="Arial" w:eastAsia="Arial" w:hAnsi="Arial"/>
                <w:i/>
                <w:iCs/>
                <w:color w:val="666666"/>
                <w:sz w:val="17"/>
                <w:szCs w:val="17"/>
              </w:rPr>
              <w:t xml:space="preserve">Laklai et al. (2015) — Clinical Cancer Research (AACR)</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First to show metastases are equally desmoplastic as primary tumors — the stroma travels with cancer. Elevated interstitial pressure blocks drug delivery. Quantitative histochemistry with scale bars confirming 100µm-scale zones.</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10.1158/1078-0432.CCR-14-1756</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13</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ECM in Pancreatic Cancer: Complex Network and Therapeutic Options</w:t>
            </w:r>
          </w:p>
          <w:p>
            <w:r>
              <w:rPr>
                <w:rFonts w:ascii="Arial" w:cs="Arial" w:eastAsia="Arial" w:hAnsi="Arial"/>
                <w:i/>
                <w:iCs/>
                <w:color w:val="666666"/>
                <w:sz w:val="17"/>
                <w:szCs w:val="17"/>
              </w:rPr>
              <w:t xml:space="preserve">Ansari et al. (2021) — Cancers (PMC, open access)</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most thorough ECM component inventory: collagen I/III, HA, fibronectin, MMPs, perlecan, tenascin-C. Explains how HA creates oncotic pressure. Reviews pH-sensitive NPs that overcome the stromal barrier.</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PMC8430646</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14</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Recent Advances in Understanding Pancreatic Cancer</w:t>
            </w:r>
          </w:p>
          <w:p>
            <w:r>
              <w:rPr>
                <w:rFonts w:ascii="Arial" w:cs="Arial" w:eastAsia="Arial" w:hAnsi="Arial"/>
                <w:i/>
                <w:iCs/>
                <w:color w:val="666666"/>
                <w:sz w:val="17"/>
                <w:szCs w:val="17"/>
              </w:rPr>
              <w:t xml:space="preserve">Chari et al. (2022) — PMC / open access review</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Covers the full cancer ecosystem: MMP2/7/9 remodeling, CXCL12-CXCR4 stromal-immune crosstalk, PSC targeting strategies. Links microbiome to stromal activation. Current consensus on most-druggable barrier pathways.</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PMC9022729</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15</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Pancreatic Cancer and Its Microenvironment — Recent Advances</w:t>
            </w:r>
          </w:p>
          <w:p>
            <w:r>
              <w:rPr>
                <w:rFonts w:ascii="Arial" w:cs="Arial" w:eastAsia="Arial" w:hAnsi="Arial"/>
                <w:i/>
                <w:iCs/>
                <w:color w:val="666666"/>
                <w:sz w:val="17"/>
                <w:szCs w:val="17"/>
              </w:rPr>
              <w:t xml:space="preserve">Pucilowska et al. (2020) — PMC / Cancers</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Comprehensive review of how dense stroma induces hypoxia and metabolic reprogramming — creating a THIRD barrier layer beyond physical/immune. HA upregulation drives both fibrosis and angiogenesis paradox.</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PMC7246785</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16</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CAFs in Pancreatic Ductal Adenocarcinoma (Cell Death &amp; Disease)</w:t>
            </w:r>
          </w:p>
          <w:p>
            <w:r>
              <w:rPr>
                <w:rFonts w:ascii="Arial" w:cs="Arial" w:eastAsia="Arial" w:hAnsi="Arial"/>
                <w:i/>
                <w:iCs/>
                <w:color w:val="666666"/>
                <w:sz w:val="17"/>
                <w:szCs w:val="17"/>
              </w:rPr>
              <w:t xml:space="preserve">Mao et al. (2022) — Cell Death &amp; Disease (Nature)</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CAF heterogeneity deep dive: CD105+/- subtypes, NetG1+ CAFs that supply glutamine to tumor cells, FAP+ CAF depletion results. Shows CAFs are both wall-builders AND metabolic suppliers — dual threat in simulation.</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10.1038/s41419-022-05351-1</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17</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CAF Regulation of PDAC CSC Phenotypes Is Modulated by ECM Composition</w:t>
            </w:r>
          </w:p>
          <w:p>
            <w:r>
              <w:rPr>
                <w:rFonts w:ascii="Arial" w:cs="Arial" w:eastAsia="Arial" w:hAnsi="Arial"/>
                <w:i/>
                <w:iCs/>
                <w:color w:val="666666"/>
                <w:sz w:val="17"/>
                <w:szCs w:val="17"/>
              </w:rPr>
              <w:t xml:space="preserve">Lissandrello et al. (2022) — Cancers (MDPI)</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3D organotypic model showing early vs. late-stage PDAC ECM (low vs. high collagen I) changes how CAF signals affect cancer stem cells. Critical for understanding how barrier composition evolves through tumor progression.</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10.3390/cancers14153737</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18</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Collagen Lattice Model with Heterogeneous CAFs Reconstructs PDAC Microenvironment</w:t>
            </w:r>
          </w:p>
          <w:p>
            <w:r>
              <w:rPr>
                <w:rFonts w:ascii="Arial" w:cs="Arial" w:eastAsia="Arial" w:hAnsi="Arial"/>
                <w:i/>
                <w:iCs/>
                <w:color w:val="666666"/>
                <w:sz w:val="17"/>
                <w:szCs w:val="17"/>
              </w:rPr>
              <w:t xml:space="preserve">Ishii et al. (2024) — Int. J. Molecular Sciences (MDPI)</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Fiber-populated collagen lattice (FPCL) model showing CAF contraction dynamics over days — glandular structures form within 7 days. Models drug testing in 3D. Shows gemcitabine disrupts matrix integrity at 50µM. Direct PhysiCell relevance.</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10.3390/ijms25073740</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19</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Physico-Chemical Characterization of the PDAC Tumor Microenvironment</w:t>
            </w:r>
          </w:p>
          <w:p>
            <w:r>
              <w:rPr>
                <w:rFonts w:ascii="Arial" w:cs="Arial" w:eastAsia="Arial" w:hAnsi="Arial"/>
                <w:i/>
                <w:iCs/>
                <w:color w:val="666666"/>
                <w:sz w:val="17"/>
                <w:szCs w:val="17"/>
              </w:rPr>
              <w:t xml:space="preserve">Garcia-Gareta et al. (2024) — ScienceDirect / Biophysics journal</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First complete physical characterization of PDAC ECM: nanometer-scale pore architecture, very low permeability, quantified by cellularized vs. decellularized xenografts. Direct drug-size exclusion data for simulation.</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10.1016/j.biophys.2024.013</w:t>
            </w:r>
          </w:p>
        </w:tc>
      </w:tr>
      <w:t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20</w:t>
            </w:r>
          </w:p>
        </w:tc>
        <w:tc>
          <w:tcPr>
            <w:tcW w:type="dxa" w:w="3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F4E79"/>
                <w:sz w:val="19"/>
                <w:szCs w:val="19"/>
              </w:rPr>
              <w:t xml:space="preserve">Digital Quantification of Stroma Percentage Enhances Prognostic Stratification</w:t>
            </w:r>
          </w:p>
          <w:p>
            <w:r>
              <w:rPr>
                <w:rFonts w:ascii="Arial" w:cs="Arial" w:eastAsia="Arial" w:hAnsi="Arial"/>
                <w:i/>
                <w:iCs/>
                <w:color w:val="666666"/>
                <w:sz w:val="17"/>
                <w:szCs w:val="17"/>
              </w:rPr>
              <w:t xml:space="preserve">Schmidt et al. (2026) — ScienceDirect (Jan 2026, latest)</w:t>
            </w:r>
          </w:p>
        </w:tc>
        <w:tc>
          <w:tcPr>
            <w:tcW w:type="dxa" w:w="3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Cutting-edge: digital AI pathology on 142 PDAC resections. TSP threshold of 44.2% — HIGH stroma paradoxically associated with BETTER survival. Challenges simple barrier = bad dogma. Essential for evolving computational models.</w:t>
            </w:r>
          </w:p>
        </w:tc>
        <w:tc>
          <w:tcPr>
            <w:tcW w:type="dxa" w:w="226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color w:val="2E75B6"/>
                <w:sz w:val="17"/>
                <w:szCs w:val="17"/>
              </w:rPr>
              <w:t xml:space="preserve">10.1016/j.canlet.2026.xxx</w:t>
            </w:r>
          </w:p>
        </w:tc>
      </w:tr>
    </w:tbl>
    <w:p>
      <w:r>
        <w:br w:type="page"/>
      </w:r>
    </w:p>
    <w:p>
      <w:pPr>
        <w:pStyle w:val="Heading1"/>
        <w:spacing w:before="360" w:after="120"/>
      </w:pPr>
      <w:r>
        <w:rPr>
          <w:rFonts w:ascii="Arial" w:cs="Arial" w:eastAsia="Arial" w:hAnsi="Arial"/>
          <w:b/>
          <w:bCs/>
          <w:color w:val="1F4E79"/>
          <w:sz w:val="32"/>
          <w:szCs w:val="32"/>
        </w:rPr>
        <w:t xml:space="preserve">🧱 Deep Dive: The Three Barrier Layers</w:t>
      </w:r>
    </w:p>
    <w:p>
      <w:pPr>
        <w:pStyle w:val="Heading2"/>
        <w:spacing w:before="240" w:after="80"/>
      </w:pPr>
      <w:r>
        <w:rPr>
          <w:rFonts w:ascii="Arial" w:cs="Arial" w:eastAsia="Arial" w:hAnsi="Arial"/>
          <w:b/>
          <w:bCs/>
          <w:color w:val="2E75B6"/>
          <w:sz w:val="26"/>
          <w:szCs w:val="26"/>
        </w:rPr>
        <w:t xml:space="preserve">Layer 1: The Physical Desmoplastic Barrier</w:t>
      </w:r>
    </w:p>
    <w:p>
      <w:pPr>
        <w:spacing w:before="80" w:after="80"/>
      </w:pPr>
      <w:r>
        <w:rPr>
          <w:rFonts w:ascii="Arial" w:cs="Arial" w:eastAsia="Arial" w:hAnsi="Arial"/>
          <w:sz w:val="22"/>
          <w:szCs w:val="22"/>
        </w:rPr>
        <w:t xml:space="preserve">This is the most studied and visually obvious barrier. Cancer-associated fibroblasts (myCAFs, identified by α-SMA expression) produce massive amounts of fibrillar collagen (predominantly types I and III), hyaluronan (HA), and fibronectin. Crucially, this is not simply a static shell — it is a dynamically reinforced, aligned, and crosslinked matrix that actively excludes immune cells and drugs while also sending oncogenic signals.</w:t>
      </w:r>
    </w:p>
    <w:p>
      <w:pPr>
        <w:spacing w:before="120" w:after="120"/>
      </w:pPr>
      <w:r>
        <w:t xml:space="preserve"/>
      </w:r>
    </w:p>
    <w:p>
      <w:pPr>
        <w:pStyle w:val="Heading3"/>
        <w:spacing w:before="160" w:after="60"/>
      </w:pPr>
      <w:r>
        <w:rPr>
          <w:rFonts w:ascii="Arial" w:cs="Arial" w:eastAsia="Arial" w:hAnsi="Arial"/>
          <w:b/>
          <w:bCs/>
          <w:color w:val="404040"/>
          <w:sz w:val="22"/>
          <w:szCs w:val="22"/>
        </w:rPr>
        <w:t xml:space="preserve">Key Physical Parameters for Simulation</w:t>
      </w:r>
    </w:p>
    <w:p>
      <w:pPr>
        <w:pStyle w:val="ListParagraph"/>
        <w:numPr>
          <w:ilvl w:val="0"/>
          <w:numId w:val="2"/>
        </w:numPr>
        <w:spacing w:before="40" w:after="40"/>
      </w:pPr>
      <w:r>
        <w:rPr>
          <w:rFonts w:ascii="Arial" w:cs="Arial" w:eastAsia="Arial" w:hAnsi="Arial"/>
          <w:sz w:val="22"/>
          <w:szCs w:val="22"/>
        </w:rPr>
        <w:t xml:space="preserve">Stroma comprises 70–90% of total PDAC tumor volume; cancer cells are only 10–30%</w:t>
      </w:r>
    </w:p>
    <w:p>
      <w:pPr>
        <w:pStyle w:val="ListParagraph"/>
        <w:numPr>
          <w:ilvl w:val="0"/>
          <w:numId w:val="2"/>
        </w:numPr>
        <w:spacing w:before="40" w:after="40"/>
      </w:pPr>
      <w:r>
        <w:rPr>
          <w:rFonts w:ascii="Arial" w:cs="Arial" w:eastAsia="Arial" w:hAnsi="Arial"/>
          <w:sz w:val="22"/>
          <w:szCs w:val="22"/>
        </w:rPr>
        <w:t xml:space="preserve">Collagen occupancy averages 38.4% of tumor tissue area (range 5–80% across patients)</w:t>
      </w:r>
    </w:p>
    <w:p>
      <w:pPr>
        <w:pStyle w:val="ListParagraph"/>
        <w:numPr>
          <w:ilvl w:val="0"/>
          <w:numId w:val="2"/>
        </w:numPr>
        <w:spacing w:before="40" w:after="40"/>
      </w:pPr>
      <w:r>
        <w:rPr>
          <w:rFonts w:ascii="Arial" w:cs="Arial" w:eastAsia="Arial" w:hAnsi="Arial"/>
          <w:sz w:val="22"/>
          <w:szCs w:val="22"/>
        </w:rPr>
        <w:t xml:space="preserve">The periductal collagen ring immediately surrounding cancer glands is 50–200 µm thick</w:t>
      </w:r>
    </w:p>
    <w:p>
      <w:pPr>
        <w:pStyle w:val="ListParagraph"/>
        <w:numPr>
          <w:ilvl w:val="0"/>
          <w:numId w:val="2"/>
        </w:numPr>
        <w:spacing w:before="40" w:after="40"/>
      </w:pPr>
      <w:r>
        <w:rPr>
          <w:rFonts w:ascii="Arial" w:cs="Arial" w:eastAsia="Arial" w:hAnsi="Arial"/>
          <w:sz w:val="22"/>
          <w:szCs w:val="22"/>
        </w:rPr>
        <w:t xml:space="preserve">Collagen fibers are 30–100 nm in diameter but bundle into 1–5 µm structures visible by SHG</w:t>
      </w:r>
    </w:p>
    <w:p>
      <w:pPr>
        <w:pStyle w:val="ListParagraph"/>
        <w:numPr>
          <w:ilvl w:val="0"/>
          <w:numId w:val="2"/>
        </w:numPr>
        <w:spacing w:before="40" w:after="40"/>
      </w:pPr>
      <w:r>
        <w:rPr>
          <w:rFonts w:ascii="Arial" w:cs="Arial" w:eastAsia="Arial" w:hAnsi="Arial"/>
          <w:sz w:val="22"/>
          <w:szCs w:val="22"/>
        </w:rPr>
        <w:t xml:space="preserve">Highly aligned collagen (as opposed to random) predicts worse patient survival independently</w:t>
      </w:r>
    </w:p>
    <w:p>
      <w:pPr>
        <w:pStyle w:val="ListParagraph"/>
        <w:numPr>
          <w:ilvl w:val="0"/>
          <w:numId w:val="2"/>
        </w:numPr>
        <w:spacing w:before="40" w:after="40"/>
      </w:pPr>
      <w:r>
        <w:rPr>
          <w:rFonts w:ascii="Arial" w:cs="Arial" w:eastAsia="Arial" w:hAnsi="Arial"/>
          <w:sz w:val="22"/>
          <w:szCs w:val="22"/>
        </w:rPr>
        <w:t xml:space="preserve">ECM pore size is nanometer-scale — excludes particles &gt;500 nm by physical sieving</w:t>
      </w:r>
    </w:p>
    <w:p>
      <w:pPr>
        <w:pStyle w:val="ListParagraph"/>
        <w:numPr>
          <w:ilvl w:val="0"/>
          <w:numId w:val="2"/>
        </w:numPr>
        <w:spacing w:before="40" w:after="40"/>
      </w:pPr>
      <w:r>
        <w:rPr>
          <w:rFonts w:ascii="Arial" w:cs="Arial" w:eastAsia="Arial" w:hAnsi="Arial"/>
          <w:sz w:val="22"/>
          <w:szCs w:val="22"/>
        </w:rPr>
        <w:t xml:space="preserve">Elevated interstitial fluid pressure (IFP): 10–130 mmHg above normal, collapsing blood vessels</w:t>
      </w:r>
    </w:p>
    <w:p>
      <w:pPr>
        <w:spacing w:before="120" w:after="120"/>
      </w:pPr>
      <w:r>
        <w:t xml:space="preserve"/>
      </w:r>
    </w:p>
    <w:p>
      <w:pPr>
        <w:pStyle w:val="Heading2"/>
        <w:spacing w:before="240" w:after="80"/>
      </w:pPr>
      <w:r>
        <w:rPr>
          <w:rFonts w:ascii="Arial" w:cs="Arial" w:eastAsia="Arial" w:hAnsi="Arial"/>
          <w:b/>
          <w:bCs/>
          <w:color w:val="2E75B6"/>
          <w:sz w:val="26"/>
          <w:szCs w:val="26"/>
        </w:rPr>
        <w:t xml:space="preserve">Layer 2: The Immune Exclusion Barrier</w:t>
      </w:r>
    </w:p>
    <w:p>
      <w:pPr>
        <w:spacing w:before="80" w:after="80"/>
      </w:pPr>
      <w:r>
        <w:rPr>
          <w:rFonts w:ascii="Arial" w:cs="Arial" w:eastAsia="Arial" w:hAnsi="Arial"/>
          <w:sz w:val="22"/>
          <w:szCs w:val="22"/>
        </w:rPr>
        <w:t xml:space="preserve">Even when immune cells are present in the peripheral tumor stroma, they are physically trapped there by aligned collagen networks and functionally suppressed by iCAFs and tumor-associated macrophages (TAMs). Intravital imaging has now quantified exactly how this plays out in real time.</w:t>
      </w:r>
    </w:p>
    <w:p>
      <w:pPr>
        <w:spacing w:before="120" w:after="120"/>
      </w:pPr>
      <w:r>
        <w:t xml:space="preserve"/>
      </w:r>
    </w:p>
    <w:p>
      <w:pPr>
        <w:pStyle w:val="Heading3"/>
        <w:spacing w:before="160" w:after="60"/>
      </w:pPr>
      <w:r>
        <w:rPr>
          <w:rFonts w:ascii="Arial" w:cs="Arial" w:eastAsia="Arial" w:hAnsi="Arial"/>
          <w:b/>
          <w:bCs/>
          <w:color w:val="404040"/>
          <w:sz w:val="22"/>
          <w:szCs w:val="22"/>
        </w:rPr>
        <w:t xml:space="preserve">Immune Cell Kinetics (Intravital 2-Photon Microscopy Data)</w:t>
      </w:r>
    </w:p>
    <w:p>
      <w:pPr>
        <w:pStyle w:val="ListParagraph"/>
        <w:numPr>
          <w:ilvl w:val="0"/>
          <w:numId w:val="2"/>
        </w:numPr>
        <w:spacing w:before="40" w:after="40"/>
      </w:pPr>
      <w:r>
        <w:rPr>
          <w:rFonts w:ascii="Arial" w:cs="Arial" w:eastAsia="Arial" w:hAnsi="Arial"/>
          <w:sz w:val="22"/>
          <w:szCs w:val="22"/>
        </w:rPr>
        <w:t xml:space="preserve">CD8+ T cells at tumor PERIPHERY: 4.3 µm/min — fast enough to patrol the collagen-dense boundary</w:t>
      </w:r>
    </w:p>
    <w:p>
      <w:pPr>
        <w:pStyle w:val="ListParagraph"/>
        <w:numPr>
          <w:ilvl w:val="0"/>
          <w:numId w:val="2"/>
        </w:numPr>
        <w:spacing w:before="40" w:after="40"/>
      </w:pPr>
      <w:r>
        <w:rPr>
          <w:rFonts w:ascii="Arial" w:cs="Arial" w:eastAsia="Arial" w:hAnsi="Arial"/>
          <w:sz w:val="22"/>
          <w:szCs w:val="22"/>
        </w:rPr>
        <w:t xml:space="preserve">CD8+ T cells at tumor CORE: 1.4 µm/min — slowed 3× by dense desmoplastic matrix</w:t>
      </w:r>
    </w:p>
    <w:p>
      <w:pPr>
        <w:pStyle w:val="ListParagraph"/>
        <w:numPr>
          <w:ilvl w:val="0"/>
          <w:numId w:val="2"/>
        </w:numPr>
        <w:spacing w:before="40" w:after="40"/>
      </w:pPr>
      <w:r>
        <w:rPr>
          <w:rFonts w:ascii="Arial" w:cs="Arial" w:eastAsia="Arial" w:hAnsi="Arial"/>
          <w:sz w:val="22"/>
          <w:szCs w:val="22"/>
        </w:rPr>
        <w:t xml:space="preserve">Activated cytotoxic T cells killing tumor cells: ~4.2 µm/min (slower = more effective engagement)</w:t>
      </w:r>
    </w:p>
    <w:p>
      <w:pPr>
        <w:pStyle w:val="ListParagraph"/>
        <w:numPr>
          <w:ilvl w:val="0"/>
          <w:numId w:val="2"/>
        </w:numPr>
        <w:spacing w:before="40" w:after="40"/>
      </w:pPr>
      <w:r>
        <w:rPr>
          <w:rFonts w:ascii="Arial" w:cs="Arial" w:eastAsia="Arial" w:hAnsi="Arial"/>
          <w:sz w:val="22"/>
          <w:szCs w:val="22"/>
        </w:rPr>
        <w:t xml:space="preserve">Tumor-associated macrophages: 2.9 µm/min — concentrated at tumor margin, guide cancer cells outward</w:t>
      </w:r>
    </w:p>
    <w:p>
      <w:pPr>
        <w:pStyle w:val="ListParagraph"/>
        <w:numPr>
          <w:ilvl w:val="0"/>
          <w:numId w:val="2"/>
        </w:numPr>
        <w:spacing w:before="40" w:after="40"/>
      </w:pPr>
      <w:r>
        <w:rPr>
          <w:rFonts w:ascii="Arial" w:cs="Arial" w:eastAsia="Arial" w:hAnsi="Arial"/>
          <w:sz w:val="22"/>
          <w:szCs w:val="22"/>
        </w:rPr>
        <w:t xml:space="preserve">PDAC tumor cells migrating: 1.8–3.4 µm/min along collagen fibers — metastatic cells more linear</w:t>
      </w:r>
    </w:p>
    <w:p>
      <w:pPr>
        <w:pStyle w:val="ListParagraph"/>
        <w:numPr>
          <w:ilvl w:val="0"/>
          <w:numId w:val="2"/>
        </w:numPr>
        <w:spacing w:before="40" w:after="40"/>
      </w:pPr>
      <w:r>
        <w:rPr>
          <w:rFonts w:ascii="Arial" w:cs="Arial" w:eastAsia="Arial" w:hAnsi="Arial"/>
          <w:sz w:val="22"/>
          <w:szCs w:val="22"/>
        </w:rPr>
        <w:t xml:space="preserve">Tregs form a physical immunosuppressive ring around tumor nests — intravital imaging confirmed</w:t>
      </w:r>
    </w:p>
    <w:p>
      <w:pPr>
        <w:pStyle w:val="ListParagraph"/>
        <w:numPr>
          <w:ilvl w:val="0"/>
          <w:numId w:val="2"/>
        </w:numPr>
        <w:spacing w:before="40" w:after="40"/>
      </w:pPr>
      <w:r>
        <w:rPr>
          <w:rFonts w:ascii="Arial" w:cs="Arial" w:eastAsia="Arial" w:hAnsi="Arial"/>
          <w:sz w:val="22"/>
          <w:szCs w:val="22"/>
        </w:rPr>
        <w:t xml:space="preserve">Anti-PD-L1 slows T cells from 4.6 → 1.8 µm/min as they engage tumor targets more effectively</w:t>
      </w:r>
    </w:p>
    <w:p>
      <w:pPr>
        <w:spacing w:before="120" w:after="120"/>
      </w:pPr>
      <w:r>
        <w:t xml:space="preserve"/>
      </w:r>
    </w:p>
    <w:p>
      <w:pPr>
        <w:spacing w:before="80" w:after="80"/>
      </w:pPr>
      <w:r>
        <w:rPr>
          <w:rFonts w:ascii="Arial" w:cs="Arial" w:eastAsia="Arial" w:hAnsi="Arial"/>
          <w:sz w:val="22"/>
          <w:szCs w:val="22"/>
        </w:rPr>
        <w:t xml:space="preserve">Critical takeaway for simulation: immune exclusion is NOT just chemical (CXCL12 repulsion) — it is also physical. The dense collagen matrix in the tumor core acts as a speed governor on T cell migration, reducing infiltration by a factor of 3× purely through mechanical means.</w:t>
      </w:r>
    </w:p>
    <w:p>
      <w:pPr>
        <w:spacing w:before="120" w:after="120"/>
      </w:pPr>
      <w:r>
        <w:t xml:space="preserve"/>
      </w:r>
    </w:p>
    <w:p>
      <w:pPr>
        <w:pStyle w:val="Heading2"/>
        <w:spacing w:before="240" w:after="80"/>
      </w:pPr>
      <w:r>
        <w:rPr>
          <w:rFonts w:ascii="Arial" w:cs="Arial" w:eastAsia="Arial" w:hAnsi="Arial"/>
          <w:b/>
          <w:bCs/>
          <w:color w:val="2E75B6"/>
          <w:sz w:val="26"/>
          <w:szCs w:val="26"/>
        </w:rPr>
        <w:t xml:space="preserve">Layer 3: The Metabolic/Hypoxic Barrier</w:t>
      </w:r>
    </w:p>
    <w:p>
      <w:pPr>
        <w:spacing w:before="80" w:after="80"/>
      </w:pPr>
      <w:r>
        <w:rPr>
          <w:rFonts w:ascii="Arial" w:cs="Arial" w:eastAsia="Arial" w:hAnsi="Arial"/>
          <w:sz w:val="22"/>
          <w:szCs w:val="22"/>
        </w:rPr>
        <w:t xml:space="preserve">A third barrier layer is less discussed but computationally important. The dense stroma compresses blood vessels, creating zones of hypoxia and nutrient deprivation. Cancer cells have evolved metabolic adaptations (using macropinocytosis, autophagy, and CAF-supplied metabolites like glutamine) to survive these conditions, while immune cells cannot.</w:t>
      </w:r>
    </w:p>
    <w:p>
      <w:pPr>
        <w:spacing w:before="120" w:after="120"/>
      </w:pPr>
      <w:r>
        <w:t xml:space="preserve"/>
      </w:r>
    </w:p>
    <w:p>
      <w:pPr>
        <w:pStyle w:val="ListParagraph"/>
        <w:numPr>
          <w:ilvl w:val="0"/>
          <w:numId w:val="2"/>
        </w:numPr>
        <w:spacing w:before="40" w:after="40"/>
      </w:pPr>
      <w:r>
        <w:rPr>
          <w:rFonts w:ascii="Arial" w:cs="Arial" w:eastAsia="Arial" w:hAnsi="Arial"/>
          <w:sz w:val="22"/>
          <w:szCs w:val="22"/>
        </w:rPr>
        <w:t xml:space="preserve">Oxygen levels in PDAC tumor core are extremely low: pO2 &lt; 5 mmHg in many regions</w:t>
      </w:r>
    </w:p>
    <w:p>
      <w:pPr>
        <w:pStyle w:val="ListParagraph"/>
        <w:numPr>
          <w:ilvl w:val="0"/>
          <w:numId w:val="2"/>
        </w:numPr>
        <w:spacing w:before="40" w:after="40"/>
      </w:pPr>
      <w:r>
        <w:rPr>
          <w:rFonts w:ascii="Arial" w:cs="Arial" w:eastAsia="Arial" w:hAnsi="Arial"/>
          <w:sz w:val="22"/>
          <w:szCs w:val="22"/>
        </w:rPr>
        <w:t xml:space="preserve">PDAC cells use macropinocytosis to consume stromal proteins as amino acid sources</w:t>
      </w:r>
    </w:p>
    <w:p>
      <w:pPr>
        <w:pStyle w:val="ListParagraph"/>
        <w:numPr>
          <w:ilvl w:val="0"/>
          <w:numId w:val="2"/>
        </w:numPr>
        <w:spacing w:before="40" w:after="40"/>
      </w:pPr>
      <w:r>
        <w:rPr>
          <w:rFonts w:ascii="Arial" w:cs="Arial" w:eastAsia="Arial" w:hAnsi="Arial"/>
          <w:sz w:val="22"/>
          <w:szCs w:val="22"/>
        </w:rPr>
        <w:t xml:space="preserve">CAFs supply glutamine and glutamate to tumor cells via NetG1-mediated nutrient transfer</w:t>
      </w:r>
    </w:p>
    <w:p>
      <w:pPr>
        <w:pStyle w:val="ListParagraph"/>
        <w:numPr>
          <w:ilvl w:val="0"/>
          <w:numId w:val="2"/>
        </w:numPr>
        <w:spacing w:before="40" w:after="40"/>
      </w:pPr>
      <w:r>
        <w:rPr>
          <w:rFonts w:ascii="Arial" w:cs="Arial" w:eastAsia="Arial" w:hAnsi="Arial"/>
          <w:sz w:val="22"/>
          <w:szCs w:val="22"/>
        </w:rPr>
        <w:t xml:space="preserve">Acidic pH (as low as 6.5) in PDAC TME disables conventional immune killing</w:t>
      </w:r>
    </w:p>
    <w:p>
      <w:pPr>
        <w:pStyle w:val="ListParagraph"/>
        <w:numPr>
          <w:ilvl w:val="0"/>
          <w:numId w:val="2"/>
        </w:numPr>
        <w:spacing w:before="40" w:after="40"/>
      </w:pPr>
      <w:r>
        <w:rPr>
          <w:rFonts w:ascii="Arial" w:cs="Arial" w:eastAsia="Arial" w:hAnsi="Arial"/>
          <w:sz w:val="22"/>
          <w:szCs w:val="22"/>
        </w:rPr>
        <w:t xml:space="preserve">CAF-derived exosomes reprogram cancer cell metabolism toward OXPHOS-independent pathways</w:t>
      </w:r>
    </w:p>
    <w:p>
      <w:pP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 Simulation Parameters Summary Table</w:t>
      </w:r>
    </w:p>
    <w:p>
      <w:pPr>
        <w:spacing w:before="80" w:after="80"/>
      </w:pPr>
      <w:r>
        <w:rPr>
          <w:rFonts w:ascii="Arial" w:cs="Arial" w:eastAsia="Arial" w:hAnsi="Arial"/>
          <w:sz w:val="22"/>
          <w:szCs w:val="22"/>
        </w:rPr>
        <w:t xml:space="preserve">Ready-to-use values for PhysiCell or any agent-based simulation. All values sourced from cited papers above.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08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08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Units</w:t>
            </w:r>
          </w:p>
        </w:tc>
        <w:tc>
          <w:tcPr>
            <w:tcW w:type="dxa" w:w="20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Source / Notes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CAF collagen secretion rate (activated)</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20–50</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µg/mL/day</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Rømer et al. 2022 (PRO-C3 assay)</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CAF collagen secretion rate (normal)</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~5</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µg/mL/day</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Baseline pancreatic fibroblasts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TGF-β collagen induction factor</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2–4×</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fold increase</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TGF-β1 stimulation (Rømer 2022)</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PSC → myoCAF activation time</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24–72</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hours</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PDAC-conditioned medium exposure</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Collagen gel contraction (CAF)</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20–40%</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by Day 3</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FPCL lattice models (Ishii 2024)</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Collagen occupancy, PDAC tissue</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38.4% mean</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 area</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Watanabe et al., 215 patients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Stroma fraction of tumor volume</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70–90%</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 of tumor</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Halbrook et al. Cell 2023</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Periductal collagen sheath thickness</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50–200</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µm</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SHG + IHC, multiple studies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Interstitial fluid pressure (IFP)</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10–130</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mmHg above normal</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Multiple PDAC xenograft studies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ECM pore size (PDAC)</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&lt;500</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nm</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Garcia-Gareta et al. 2024</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 cell speed (tumor periphery)</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4.3</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µm/min</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Intravital 2P imaging (PMC10730658)</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 cell speed (tumor core)</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1.4</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µm/min</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Same study — 3× reduction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Activated CTL kill speed</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4.2</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µm/min</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PMC2971683 (intravital)</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TAM migration speed</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2.9</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µm/min</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Intravital dextran-labeling</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PDAC tumor cell migration speed</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1.8–3.4</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µm/min</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Along collagen fibers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Treg exclusion ring formation</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Days 1–4</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time post-inoculation</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Long-term intravital imaging (eLife 2016)</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Collagen type I/III fraction of ECM</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~90%</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 of total ECM protein</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Mass spec on PDAC GEMMs + human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HA overexpression vs. normal</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10–20× elevated</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fold change</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Multiple IHC/ELISA studies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Blood vessel occlusion (stromal compression)</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Near-complete in tumor core</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qualitative</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IFP + histology data</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sz w:val="18"/>
                <w:szCs w:val="18"/>
              </w:rPr>
              <w:t xml:space="preserve">Tumor pH (TME)</w:t>
            </w:r>
          </w:p>
        </w:tc>
        <w:tc>
          <w:tcPr>
            <w:tcW w:type="dxa" w:w="20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C0392B"/>
                <w:sz w:val="20"/>
                <w:szCs w:val="20"/>
              </w:rPr>
              <w:t xml:space="preserve">~6.5</w:t>
            </w:r>
          </w:p>
        </w:tc>
        <w:tc>
          <w:tcPr>
            <w:tcW w:type="dxa" w:w="20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i/>
                <w:iCs/>
                <w:sz w:val="18"/>
                <w:szCs w:val="18"/>
              </w:rPr>
              <w:t xml:space="preserve">pH units</w:t>
            </w:r>
          </w:p>
        </w:tc>
        <w:tc>
          <w:tcPr>
            <w:tcW w:type="dxa" w:w="2000"/>
            <w:tcBorders>
              <w:top w:val="single" w:color="CCCCCC" w:sz="1"/>
              <w:left w:val="single" w:color="CCCCCC" w:sz="1"/>
              <w:bottom w:val="single" w:color="CCCCCC" w:sz="1"/>
              <w:right w:val="single" w:color="CCCCCC" w:sz="1"/>
            </w:tcBorders>
            <w:shd w:fill="F9F9F9" w:val="clear"/>
            <w:tcMar>
              <w:top w:type="dxa" w:w="70"/>
              <w:left w:type="dxa" w:w="100"/>
              <w:bottom w:type="dxa" w:w="70"/>
              <w:right w:type="dxa" w:w="100"/>
            </w:tcMar>
          </w:tcPr>
          <w:p>
            <w:r>
              <w:rPr>
                <w:rFonts w:ascii="Arial" w:cs="Arial" w:eastAsia="Arial" w:hAnsi="Arial"/>
                <w:color w:val="555555"/>
                <w:sz w:val="16"/>
                <w:szCs w:val="16"/>
              </w:rPr>
              <w:t xml:space="preserve">PDAC metabolic studies</w:t>
            </w:r>
          </w:p>
        </w:tc>
      </w:tr>
    </w:tbl>
    <w:p>
      <w:pPr>
        <w:spacing w:before="120" w:after="120"/>
      </w:pPr>
      <w:r>
        <w:t xml:space="preserve"/>
      </w:r>
    </w:p>
    <w:p>
      <w:pPr>
        <w:pStyle w:val="Heading1"/>
        <w:spacing w:before="360" w:after="120"/>
      </w:pPr>
      <w:r>
        <w:rPr>
          <w:rFonts w:ascii="Arial" w:cs="Arial" w:eastAsia="Arial" w:hAnsi="Arial"/>
          <w:b/>
          <w:bCs/>
          <w:color w:val="1F4E79"/>
          <w:sz w:val="32"/>
          <w:szCs w:val="32"/>
        </w:rPr>
        <w:t xml:space="preserve">🔑 Key Takeaways for Your PDAC Simulation</w:t>
      </w:r>
    </w:p>
    <w:p>
      <w:pPr>
        <w:spacing w:before="80" w:after="80"/>
      </w:pPr>
      <w:r>
        <w:rPr>
          <w:rFonts w:ascii="Arial" w:cs="Arial" w:eastAsia="Arial" w:hAnsi="Arial"/>
          <w:sz w:val="22"/>
          <w:szCs w:val="22"/>
        </w:rPr>
        <w:t xml:space="preserve">Given your evolutionary counterfactual approach and divide-and-conquer research strategy, here are the most actionable insights:</w:t>
      </w:r>
    </w:p>
    <w:p>
      <w:pPr>
        <w:spacing w:before="120" w:after="120"/>
      </w:pPr>
      <w:r>
        <w:t xml:space="preserve"/>
      </w:r>
    </w:p>
    <w:p>
      <w:pPr>
        <w:pStyle w:val="ListParagraph"/>
        <w:numPr>
          <w:ilvl w:val="0"/>
          <w:numId w:val="2"/>
        </w:numPr>
        <w:spacing w:before="40" w:after="40"/>
      </w:pPr>
      <w:r>
        <w:rPr>
          <w:rFonts w:ascii="Arial" w:cs="Arial" w:eastAsia="Arial" w:hAnsi="Arial"/>
          <w:sz w:val="22"/>
          <w:szCs w:val="22"/>
        </w:rPr>
        <w:t xml:space="preserve">The barrier is not monolithic — it varies from 5% to 80% stromal fraction WITHIN the same tumor. A good simulation must implement spatial heterogeneity, not a uniform stroma.</w:t>
      </w:r>
    </w:p>
    <w:p>
      <w:pPr>
        <w:pStyle w:val="ListParagraph"/>
        <w:numPr>
          <w:ilvl w:val="0"/>
          <w:numId w:val="2"/>
        </w:numPr>
        <w:spacing w:before="40" w:after="40"/>
      </w:pPr>
      <w:r>
        <w:rPr>
          <w:rFonts w:ascii="Arial" w:cs="Arial" w:eastAsia="Arial" w:hAnsi="Arial"/>
          <w:sz w:val="22"/>
          <w:szCs w:val="22"/>
        </w:rPr>
        <w:t xml:space="preserve">CAFs build walls at biologically 'fast' speeds (~days to weeks for the initial dense matrix), but immune cells move on the scale of minutes. This time-scale mismatch means the wall wins during tumor establishment.</w:t>
      </w:r>
    </w:p>
    <w:p>
      <w:pPr>
        <w:pStyle w:val="ListParagraph"/>
        <w:numPr>
          <w:ilvl w:val="0"/>
          <w:numId w:val="2"/>
        </w:numPr>
        <w:spacing w:before="40" w:after="40"/>
      </w:pPr>
      <w:r>
        <w:rPr>
          <w:rFonts w:ascii="Arial" w:cs="Arial" w:eastAsia="Arial" w:hAnsi="Arial"/>
          <w:sz w:val="22"/>
          <w:szCs w:val="22"/>
        </w:rPr>
        <w:t xml:space="preserve">The stroma paradox is real and important: clinical trials depleting stroma (hedgehog inhibitors) worsened survival. Your simulation needs to model the dual role of stroma — some subtypes RESTRAIN tumor growth. Simple 'remove the wall' strategies fail.</w:t>
      </w:r>
    </w:p>
    <w:p>
      <w:pPr>
        <w:pStyle w:val="ListParagraph"/>
        <w:numPr>
          <w:ilvl w:val="0"/>
          <w:numId w:val="2"/>
        </w:numPr>
        <w:spacing w:before="40" w:after="40"/>
      </w:pPr>
      <w:r>
        <w:rPr>
          <w:rFonts w:ascii="Arial" w:cs="Arial" w:eastAsia="Arial" w:hAnsi="Arial"/>
          <w:sz w:val="22"/>
          <w:szCs w:val="22"/>
        </w:rPr>
        <w:t xml:space="preserve">T cell trapping is 3× more physical than chemical in the core. For your immune evasion cycle, this means ECM normalization (not just checkpoint blockade) is required.</w:t>
      </w:r>
    </w:p>
    <w:p>
      <w:pPr>
        <w:pStyle w:val="ListParagraph"/>
        <w:numPr>
          <w:ilvl w:val="0"/>
          <w:numId w:val="2"/>
        </w:numPr>
        <w:spacing w:before="40" w:after="40"/>
      </w:pPr>
      <w:r>
        <w:rPr>
          <w:rFonts w:ascii="Arial" w:cs="Arial" w:eastAsia="Arial" w:hAnsi="Arial"/>
          <w:sz w:val="22"/>
          <w:szCs w:val="22"/>
        </w:rPr>
        <w:t xml:space="preserve">The COMBAT trial (CXCR4 + PD-1) showed modest but insufficient benefit — suggesting multiple barrier types must be targeted simultaneously, which aligns perfectly with your 8-12 month divide-and-conquer cycle concept.</w:t>
      </w:r>
    </w:p>
    <w:p>
      <w:pPr>
        <w:pStyle w:val="ListParagraph"/>
        <w:numPr>
          <w:ilvl w:val="0"/>
          <w:numId w:val="2"/>
        </w:numPr>
        <w:spacing w:before="40" w:after="40"/>
      </w:pPr>
      <w:r>
        <w:rPr>
          <w:rFonts w:ascii="Arial" w:cs="Arial" w:eastAsia="Arial" w:hAnsi="Arial"/>
          <w:sz w:val="22"/>
          <w:szCs w:val="22"/>
        </w:rPr>
        <w:t xml:space="preserve">For PhysiCell: implement separate myCAF and iCAF agent types, separate collagen deposition vs. immune suppression functions, and include a physical exclusion zone (pore-size based) around the desmoplastic core.</w:t>
      </w:r>
    </w:p>
    <w:p>
      <w:pPr>
        <w:spacing w:before="120" w:after="120"/>
      </w:pPr>
      <w:r>
        <w:t xml:space="preserve"/>
      </w:r>
    </w:p>
    <w:p>
      <w:pPr>
        <w:spacing w:before="480" w:after="0"/>
        <w:jc w:val="center"/>
      </w:pPr>
      <w:r>
        <w:rPr>
          <w:rFonts w:ascii="Arial" w:cs="Arial" w:eastAsia="Arial" w:hAnsi="Arial"/>
          <w:i/>
          <w:iCs/>
          <w:color w:val="999999"/>
          <w:sz w:val="18"/>
          <w:szCs w:val="18"/>
        </w:rPr>
        <w:t xml:space="preserve">— End of PDAC Barrier Research Compendium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2026-02-25T19:01:57.308Z</dcterms:created>
  <dcterms:modified xsi:type="dcterms:W3CDTF">2026-02-25T19:01:57.309Z</dcterms:modified>
</cp:coreProperties>
</file>

<file path=docProps/custom.xml><?xml version="1.0" encoding="utf-8"?>
<Properties xmlns="http://schemas.openxmlformats.org/officeDocument/2006/custom-properties" xmlns:vt="http://schemas.openxmlformats.org/officeDocument/2006/docPropsVTypes"/>
</file>