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56"/>
          <w:szCs w:val="56"/>
        </w:rPr>
      </w:pPr>
      <w:r>
        <w:rPr>
          <w:sz w:val="56"/>
          <w:szCs w:val="56"/>
        </w:rPr>
        <w:t>Потрошувачка, Штедење</w:t>
      </w:r>
    </w:p>
    <w:p>
      <w:pPr>
        <w:pStyle w:val="Normal"/>
        <w:bidi w:val="0"/>
        <w:jc w:val="center"/>
        <w:rPr>
          <w:sz w:val="56"/>
          <w:szCs w:val="56"/>
        </w:rPr>
      </w:pPr>
      <w:r>
        <w:rPr>
          <w:sz w:val="56"/>
          <w:szCs w:val="56"/>
        </w:rPr>
        <w:t>Инвестирање</w:t>
      </w:r>
    </w:p>
    <w:p>
      <w:pPr>
        <w:pStyle w:val="Normal"/>
        <w:bidi w:val="0"/>
        <w:jc w:val="center"/>
        <w:rPr/>
      </w:pPr>
      <w:r>
        <w:rPr/>
      </w:r>
    </w:p>
    <w:p>
      <w:pPr>
        <w:pStyle w:val="Normal"/>
        <w:bidi w:val="0"/>
        <w:jc w:val="center"/>
        <w:rPr/>
      </w:pPr>
      <w:r>
        <w:rPr/>
      </w:r>
    </w:p>
    <w:p>
      <w:pPr>
        <w:pStyle w:val="Normal"/>
        <w:bidi w:val="0"/>
        <w:jc w:val="center"/>
        <w:rPr/>
      </w:pPr>
      <w:r>
        <w:rPr/>
        <w:drawing>
          <wp:anchor behindDoc="0" distT="0" distB="0" distL="0" distR="0" simplePos="0" locked="0" layoutInCell="1" allowOverlap="1" relativeHeight="2">
            <wp:simplePos x="0" y="0"/>
            <wp:positionH relativeFrom="column">
              <wp:posOffset>593725</wp:posOffset>
            </wp:positionH>
            <wp:positionV relativeFrom="paragraph">
              <wp:posOffset>201930</wp:posOffset>
            </wp:positionV>
            <wp:extent cx="5276850" cy="5276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6850" cy="5276850"/>
                    </a:xfrm>
                    <a:prstGeom prst="rect">
                      <a:avLst/>
                    </a:prstGeom>
                  </pic:spPr>
                </pic:pic>
              </a:graphicData>
            </a:graphic>
          </wp:anchor>
        </w:drawing>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left"/>
        <w:rPr>
          <w:sz w:val="36"/>
          <w:szCs w:val="36"/>
        </w:rPr>
      </w:pPr>
      <w:r>
        <w:rPr>
          <w:sz w:val="36"/>
          <w:szCs w:val="36"/>
        </w:rPr>
        <w:t>Изработиле:</w:t>
      </w:r>
    </w:p>
    <w:p>
      <w:pPr>
        <w:pStyle w:val="Normal"/>
        <w:bidi w:val="0"/>
        <w:jc w:val="left"/>
        <w:rPr/>
      </w:pPr>
      <w:r>
        <w:rPr>
          <w:sz w:val="32"/>
          <w:szCs w:val="32"/>
        </w:rPr>
        <w:t xml:space="preserve">Теодора Груевска </w:t>
      </w:r>
      <w:r>
        <w:rPr>
          <w:sz w:val="24"/>
          <w:szCs w:val="24"/>
        </w:rPr>
        <w:t>084114</w:t>
      </w:r>
    </w:p>
    <w:p>
      <w:pPr>
        <w:pStyle w:val="Normal"/>
        <w:bidi w:val="0"/>
        <w:jc w:val="left"/>
        <w:rPr/>
      </w:pPr>
      <w:r>
        <w:rPr>
          <w:sz w:val="32"/>
          <w:szCs w:val="32"/>
        </w:rPr>
        <w:t>Матеја Богдан</w:t>
      </w:r>
      <w:r>
        <w:rPr>
          <w:sz w:val="24"/>
          <w:szCs w:val="24"/>
        </w:rPr>
        <w:t xml:space="preserve"> 084092</w:t>
      </w:r>
    </w:p>
    <w:p>
      <w:pPr>
        <w:pStyle w:val="Normal"/>
        <w:bidi w:val="0"/>
        <w:jc w:val="left"/>
        <w:rPr/>
      </w:pPr>
      <w:r>
        <w:rPr>
          <w:sz w:val="32"/>
          <w:szCs w:val="32"/>
        </w:rPr>
        <w:t>Ристе Петров</w:t>
      </w:r>
      <w:r>
        <w:rPr/>
        <w:t xml:space="preserve"> 084129</w:t>
      </w:r>
    </w:p>
    <w:p>
      <w:pPr>
        <w:pStyle w:val="Normal"/>
        <w:bidi w:val="0"/>
        <w:jc w:val="left"/>
        <w:rPr/>
      </w:pPr>
      <w:r>
        <w:rPr/>
      </w:r>
    </w:p>
    <w:p>
      <w:pPr>
        <w:pStyle w:val="Normal"/>
        <w:bidi w:val="0"/>
        <w:jc w:val="left"/>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
    </w:p>
    <w:p>
      <w:pPr>
        <w:pStyle w:val="Normal"/>
        <w:bidi w:val="0"/>
        <w:jc w:val="center"/>
        <w:rPr>
          <w:rFonts w:ascii="Times New Roman" w:hAnsi="Times New Roman" w:cs="Times New Roman"/>
          <w:sz w:val="32"/>
          <w:lang w:val="mk-MK"/>
        </w:rPr>
      </w:pPr>
      <w:r>
        <w:rPr>
          <w:rFonts w:cs="Times New Roman" w:ascii="Times New Roman" w:hAnsi="Times New Roman"/>
          <w:sz w:val="32"/>
          <w:lang w:val="mk-MK"/>
        </w:rPr>
        <w:t>Штедење</w:t>
      </w:r>
    </w:p>
    <w:p>
      <w:pPr>
        <w:pStyle w:val="ListParagraph"/>
        <w:numPr>
          <w:ilvl w:val="0"/>
          <w:numId w:val="1"/>
        </w:numPr>
        <w:bidi w:val="0"/>
        <w:jc w:val="both"/>
        <w:rPr>
          <w:rFonts w:ascii="Times New Roman" w:hAnsi="Times New Roman" w:cs="Times New Roman"/>
          <w:sz w:val="28"/>
        </w:rPr>
      </w:pPr>
      <w:r>
        <w:rPr>
          <w:rFonts w:cs="Times New Roman" w:ascii="Times New Roman" w:hAnsi="Times New Roman"/>
          <w:sz w:val="28"/>
        </w:rPr>
        <w:t>Штедењето го претставува делот од расположливиот доход на домаќинствата којшто не се потрошил.</w:t>
      </w:r>
    </w:p>
    <w:p>
      <w:pPr>
        <w:pStyle w:val="ListParagraph"/>
        <w:bidi w:val="0"/>
        <w:jc w:val="both"/>
        <w:rPr>
          <w:rFonts w:ascii="Times New Roman" w:hAnsi="Times New Roman" w:cs="Times New Roman"/>
          <w:sz w:val="28"/>
        </w:rPr>
      </w:pPr>
      <w:r>
        <w:rPr>
          <w:rFonts w:cs="Times New Roman" w:ascii="Times New Roman" w:hAnsi="Times New Roman"/>
          <w:sz w:val="28"/>
        </w:rPr>
      </w:r>
    </w:p>
    <w:p>
      <w:pPr>
        <w:pStyle w:val="ListParagraph"/>
        <w:numPr>
          <w:ilvl w:val="0"/>
          <w:numId w:val="1"/>
        </w:numPr>
        <w:bidi w:val="0"/>
        <w:jc w:val="both"/>
        <w:rPr>
          <w:rFonts w:ascii="Times New Roman" w:hAnsi="Times New Roman" w:cs="Times New Roman"/>
          <w:sz w:val="28"/>
          <w:lang w:val="mk-MK"/>
        </w:rPr>
      </w:pPr>
      <w:r>
        <w:rPr>
          <w:rFonts w:cs="Times New Roman" w:ascii="Times New Roman" w:hAnsi="Times New Roman"/>
          <w:sz w:val="28"/>
          <w:lang w:val="mk-MK"/>
        </w:rPr>
        <w:t>Штедењето е на некој начин о</w:t>
      </w:r>
      <w:r>
        <w:rPr>
          <w:rFonts w:cs="Times New Roman" w:ascii="Times New Roman" w:hAnsi="Times New Roman"/>
          <w:sz w:val="28"/>
        </w:rPr>
        <w:t xml:space="preserve">дложена потрошувачка, </w:t>
      </w:r>
      <w:r>
        <w:rPr>
          <w:rFonts w:cs="Times New Roman" w:ascii="Times New Roman" w:hAnsi="Times New Roman"/>
          <w:sz w:val="28"/>
          <w:lang w:val="mk-MK"/>
        </w:rPr>
        <w:t xml:space="preserve">доходот што </w:t>
      </w:r>
      <w:r>
        <w:rPr>
          <w:rFonts w:cs="Times New Roman" w:ascii="Times New Roman" w:hAnsi="Times New Roman"/>
          <w:sz w:val="28"/>
        </w:rPr>
        <w:t xml:space="preserve">не се потрошил сега, </w:t>
      </w:r>
      <w:r>
        <w:rPr>
          <w:rFonts w:cs="Times New Roman" w:ascii="Times New Roman" w:hAnsi="Times New Roman"/>
          <w:sz w:val="28"/>
          <w:lang w:val="mk-MK"/>
        </w:rPr>
        <w:t xml:space="preserve">туку </w:t>
      </w:r>
      <w:r>
        <w:rPr>
          <w:rFonts w:cs="Times New Roman" w:ascii="Times New Roman" w:hAnsi="Times New Roman"/>
          <w:sz w:val="28"/>
        </w:rPr>
        <w:t>ќе се потроши во иднина</w:t>
      </w:r>
      <w:r>
        <w:rPr>
          <w:rFonts w:cs="Times New Roman" w:ascii="Times New Roman" w:hAnsi="Times New Roman"/>
          <w:sz w:val="28"/>
          <w:lang w:val="mk-MK"/>
        </w:rPr>
        <w:t>.</w:t>
      </w:r>
    </w:p>
    <w:p>
      <w:pPr>
        <w:pStyle w:val="ListParagraph"/>
        <w:bidi w:val="0"/>
        <w:jc w:val="both"/>
        <w:rPr>
          <w:rFonts w:ascii="Times New Roman" w:hAnsi="Times New Roman" w:cs="Times New Roman"/>
          <w:sz w:val="28"/>
          <w:lang w:val="mk-MK"/>
        </w:rPr>
      </w:pPr>
      <w:r>
        <w:rPr>
          <w:rFonts w:cs="Times New Roman" w:ascii="Times New Roman" w:hAnsi="Times New Roman"/>
          <w:sz w:val="28"/>
          <w:lang w:val="mk-MK"/>
        </w:rPr>
      </w:r>
    </w:p>
    <w:p>
      <w:pPr>
        <w:pStyle w:val="ListParagraph"/>
        <w:numPr>
          <w:ilvl w:val="0"/>
          <w:numId w:val="1"/>
        </w:numPr>
        <w:bidi w:val="0"/>
        <w:jc w:val="both"/>
        <w:rPr>
          <w:rFonts w:ascii="Times New Roman" w:hAnsi="Times New Roman" w:cs="Times New Roman"/>
          <w:sz w:val="28"/>
          <w:lang w:val="mk-MK"/>
        </w:rPr>
      </w:pPr>
      <w:r>
        <w:rPr>
          <w:rFonts w:cs="Times New Roman" w:ascii="Times New Roman" w:hAnsi="Times New Roman"/>
          <w:sz w:val="28"/>
          <w:lang w:val="mk-MK"/>
        </w:rPr>
        <w:t>Постојат неколку релевантни заклучоци во врска со штедењето и тоа:</w:t>
      </w:r>
    </w:p>
    <w:p>
      <w:pPr>
        <w:pStyle w:val="ListParagraph"/>
        <w:numPr>
          <w:ilvl w:val="1"/>
          <w:numId w:val="1"/>
        </w:numPr>
        <w:bidi w:val="0"/>
        <w:jc w:val="both"/>
        <w:rPr>
          <w:rFonts w:ascii="Times New Roman" w:hAnsi="Times New Roman" w:cs="Times New Roman"/>
          <w:sz w:val="28"/>
          <w:lang w:val="mk-MK"/>
        </w:rPr>
      </w:pPr>
      <w:r>
        <w:rPr>
          <w:rFonts w:cs="Times New Roman" w:ascii="Times New Roman" w:hAnsi="Times New Roman"/>
          <w:sz w:val="28"/>
          <w:lang w:val="mk-MK"/>
        </w:rPr>
        <w:t>Сиромашните домаќинства не само што не се во состојба да штедат, туку тие често навлегуваат во зона на негативно штедење, каде потрошувачката го надминува расположливиот доход, поради што тие мораат да се задолжуваат за да ја осигурат својата егзистенција.</w:t>
      </w:r>
    </w:p>
    <w:p>
      <w:pPr>
        <w:pStyle w:val="ListParagraph"/>
        <w:numPr>
          <w:ilvl w:val="1"/>
          <w:numId w:val="1"/>
        </w:numPr>
        <w:bidi w:val="0"/>
        <w:jc w:val="both"/>
        <w:rPr>
          <w:rFonts w:ascii="Times New Roman" w:hAnsi="Times New Roman" w:cs="Times New Roman"/>
          <w:sz w:val="28"/>
          <w:lang w:val="mk-MK"/>
        </w:rPr>
      </w:pPr>
      <w:r>
        <w:rPr>
          <w:rFonts w:cs="Times New Roman" w:ascii="Times New Roman" w:hAnsi="Times New Roman"/>
          <w:sz w:val="28"/>
          <w:lang w:val="mk-MK"/>
        </w:rPr>
        <w:t>Во точката во која се изедначуваат расположливиот доход и потрошувачката, штедењето е еднакво на нула.</w:t>
      </w:r>
    </w:p>
    <w:p>
      <w:pPr>
        <w:pStyle w:val="ListParagraph"/>
        <w:numPr>
          <w:ilvl w:val="1"/>
          <w:numId w:val="1"/>
        </w:numPr>
        <w:bidi w:val="0"/>
        <w:jc w:val="both"/>
        <w:rPr>
          <w:rFonts w:ascii="Times New Roman" w:hAnsi="Times New Roman" w:cs="Times New Roman"/>
          <w:sz w:val="28"/>
          <w:lang w:val="mk-MK"/>
        </w:rPr>
      </w:pPr>
      <w:r>
        <w:rPr>
          <w:rFonts w:cs="Times New Roman" w:ascii="Times New Roman" w:hAnsi="Times New Roman"/>
          <w:sz w:val="28"/>
          <w:lang w:val="mk-MK"/>
        </w:rPr>
        <w:t>Со порастот на расположливиот доход на домаќинствата расте можноста домаќинствата истовремено и повеќе да трошат и повеќе да штедат.</w:t>
      </w:r>
    </w:p>
    <w:p>
      <w:pPr>
        <w:pStyle w:val="ListParagraph"/>
        <w:numPr>
          <w:ilvl w:val="1"/>
          <w:numId w:val="1"/>
        </w:numPr>
        <w:bidi w:val="0"/>
        <w:jc w:val="both"/>
        <w:rPr>
          <w:rFonts w:ascii="Times New Roman" w:hAnsi="Times New Roman" w:cs="Times New Roman"/>
          <w:sz w:val="28"/>
          <w:lang w:val="mk-MK"/>
        </w:rPr>
      </w:pPr>
      <w:r>
        <w:rPr>
          <w:rFonts w:cs="Times New Roman" w:ascii="Times New Roman" w:hAnsi="Times New Roman"/>
          <w:sz w:val="28"/>
          <w:lang w:val="mk-MK"/>
        </w:rPr>
        <w:t>Расположливиот доход е основна детермината и на потрошувачката и на штедењето.</w:t>
      </w:r>
    </w:p>
    <w:p>
      <w:pPr>
        <w:pStyle w:val="ListParagraph"/>
        <w:bidi w:val="0"/>
        <w:ind w:left="1440" w:hanging="0"/>
        <w:jc w:val="both"/>
        <w:rPr>
          <w:rFonts w:ascii="Times New Roman" w:hAnsi="Times New Roman" w:cs="Times New Roman"/>
          <w:sz w:val="28"/>
          <w:lang w:val="mk-MK"/>
        </w:rPr>
      </w:pPr>
      <w:r>
        <w:rPr>
          <w:rFonts w:cs="Times New Roman" w:ascii="Times New Roman" w:hAnsi="Times New Roman"/>
          <w:sz w:val="28"/>
          <w:lang w:val="mk-MK"/>
        </w:rPr>
      </w:r>
    </w:p>
    <w:p>
      <w:pPr>
        <w:pStyle w:val="ListParagraph"/>
        <w:numPr>
          <w:ilvl w:val="0"/>
          <w:numId w:val="1"/>
        </w:numPr>
        <w:bidi w:val="0"/>
        <w:jc w:val="both"/>
        <w:rPr>
          <w:rFonts w:ascii="Times New Roman" w:hAnsi="Times New Roman" w:cs="Times New Roman"/>
          <w:sz w:val="28"/>
          <w:lang w:val="mk-MK"/>
        </w:rPr>
      </w:pPr>
      <w:r>
        <w:rPr>
          <w:rFonts w:cs="Times New Roman" w:ascii="Times New Roman" w:hAnsi="Times New Roman"/>
          <w:sz w:val="28"/>
          <w:lang w:val="mk-MK"/>
        </w:rPr>
        <w:t>Функцијата на штедењето ги покажува соодносите помеѓу нивото на штедење и нивото на расположливиот доход.</w:t>
      </w:r>
    </w:p>
    <w:p>
      <w:pPr>
        <w:pStyle w:val="ListParagraph"/>
        <w:bidi w:val="0"/>
        <w:jc w:val="both"/>
        <w:rPr>
          <w:rFonts w:ascii="Times New Roman" w:hAnsi="Times New Roman" w:cs="Times New Roman"/>
          <w:sz w:val="28"/>
          <w:lang w:val="mk-MK"/>
        </w:rPr>
      </w:pPr>
      <w:r>
        <w:rPr>
          <w:rFonts w:cs="Times New Roman" w:ascii="Times New Roman" w:hAnsi="Times New Roman"/>
          <w:sz w:val="28"/>
          <w:lang w:val="mk-MK"/>
        </w:rPr>
      </w:r>
    </w:p>
    <w:p>
      <w:pPr>
        <w:pStyle w:val="ListParagraph"/>
        <w:numPr>
          <w:ilvl w:val="0"/>
          <w:numId w:val="1"/>
        </w:numPr>
        <w:bidi w:val="0"/>
        <w:jc w:val="both"/>
        <w:rPr>
          <w:rFonts w:ascii="Times New Roman" w:hAnsi="Times New Roman" w:cs="Times New Roman"/>
          <w:sz w:val="28"/>
          <w:lang w:val="mk-MK"/>
        </w:rPr>
      </w:pPr>
      <w:r>
        <w:rPr>
          <w:rFonts w:cs="Times New Roman" w:ascii="Times New Roman" w:hAnsi="Times New Roman"/>
          <w:sz w:val="28"/>
          <w:lang w:val="mk-MK"/>
        </w:rPr>
        <w:t xml:space="preserve">На хоризонталната оска на графиконот се нанесени податоците  за нивото на расположливиот доход на домаќинствата, а на вертикалната оска, податоците за нивото на штедење. Правата линија помеѓу двете оски означува состојба каде што штедењето е еднакво на нула. Од графиконот гледаме дека кривата на штедење покажува тенденција нагоре како што расте расположливиот доход. </w:t>
      </w:r>
    </w:p>
    <w:p>
      <w:pPr>
        <w:pStyle w:val="ListParagraph"/>
        <w:bidi w:val="0"/>
        <w:jc w:val="both"/>
        <w:rPr>
          <w:rFonts w:ascii="Times New Roman" w:hAnsi="Times New Roman" w:cs="Times New Roman"/>
          <w:sz w:val="28"/>
          <w:lang w:val="mk-MK"/>
        </w:rPr>
      </w:pPr>
      <w:r>
        <w:rPr>
          <w:rFonts w:cs="Times New Roman" w:ascii="Times New Roman" w:hAnsi="Times New Roman"/>
          <w:sz w:val="28"/>
          <w:lang w:val="mk-MK"/>
        </w:rPr>
        <w:t xml:space="preserve"> </w:t>
      </w:r>
    </w:p>
    <w:p>
      <w:pPr>
        <w:pStyle w:val="ListParagraph"/>
        <w:numPr>
          <w:ilvl w:val="0"/>
          <w:numId w:val="1"/>
        </w:numPr>
        <w:bidi w:val="0"/>
        <w:jc w:val="both"/>
        <w:rPr>
          <w:rFonts w:ascii="Times New Roman" w:hAnsi="Times New Roman" w:cs="Times New Roman"/>
          <w:sz w:val="28"/>
          <w:lang w:val="mk-MK"/>
        </w:rPr>
      </w:pPr>
      <w:r>
        <w:rPr>
          <w:rFonts w:cs="Times New Roman" w:ascii="Times New Roman" w:hAnsi="Times New Roman"/>
          <w:sz w:val="28"/>
          <w:lang w:val="mk-MK"/>
        </w:rPr>
        <w:t>Маргиналната склоност кон штедењето го покажува дополнителниот износ на штедење што произлегува од секоја дополнителна единица на остварен доход т.е. кој дел од дополнителниот остварен доход поединецот или домаќинството ќе го заштедат.</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Инвестиции</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ab/>
        <w:t>според својата економска суштина, претставуваат зголемување на постојаните капитални фондови.</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Бруто инвестиции</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ab/>
        <w:t>инвестиции е целата маса на инвестиции во една економија во определен временски период, без оглед на  тоа дали станува збор за инвестиции наменети за замена на истрошените капитални фондови или пак за нивно зголемување.</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Нето инвестиции</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ab/>
        <w:t>инвестии кои го завземаат делот на инвестиции кои реализираат прираст, зголемување на капиталните фондови во економијата над дотегашното ниво. Нето инвестициите се помали за амортизацијата и депресицијацијата.</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Детерминанти на инвестициите</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ab/>
        <w:t>на микро ниво : каматна стапка, маргинална стапка на ефикасност на капиталот, очекување на деловните луѓе и технолошкиот развој.</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ab/>
        <w:t>На макро ниво:</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 Штедење</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ab/>
        <w:t xml:space="preserve">земјите кои имаат висока стапка на штедење во однос на БДП имаат поголема тенденција да инвестираат повеќе и на тој начин се остваруваат подинамични стапки на пораст на бруто домашниот производ. </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ab/>
        <w:t>Во отворените економии недоволното нациноално штење може да биде андополнето со користењ на надворешни извори на финансирање. (нема поместување на каматните стапки како во затворените економии)</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 Каматната Стапка</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ab/>
        <w:t>При инвестирање, инвеститорите ја согледуваат каматната стапка и го согледуваат стапката на враќање на инвестициите.(доколку истата има голем ризик инвеститорите подобро би ги штеделе самите средства него да ги инвестираат во ризични инвестиции)</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 Очекувањата во економијата</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ab/>
        <w:t>Голем удел во инвестриањето има состојбата во економијата, доколку самата состојба е неизвесна инвеститорите ќе бидат скептични да инвестираат.</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ab/>
        <w:t>Ако се очекува експанзија кривата на побарувачка за инвестиции се поместува нагоре кон десно, ако се очекува рецесија се поместува надолу и кон лево.</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Улоги на инвестициите</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ab/>
        <w:t>- силна компонента во агрегатната побарувачка.</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ab/>
        <w:t>- фактор врз долгорочниот аутпут/производните можности.</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Инвестициите го раздвижуваат растот на БДП со што расте и вработоеноста. Секое ново работно место помага до зголемување а маргиналната склоност на штедење што прави циклус на дополнително зголемување на инвестициите.</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Мултипликатор на инвестициите</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ab/>
        <w:t>овој мултипликатор го покажува ефектот од промените на инвестициите врз вкупниот БДП. (тенденциите на зголемувањето на инвестициите).</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Склоноста кон потрошувачка * мултипликатор на вработеност/инвестиции = го дефинираат растот на БДП.</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Покрај мултипликаторот влијаат други фактори како кризни состојби, намален оптимизам и сл.)</w:t>
      </w:r>
    </w:p>
    <w:p>
      <w:pPr>
        <w:pStyle w:val="Normal"/>
        <w:bidi w:val="0"/>
        <w:jc w:val="left"/>
        <w:rPr>
          <w:rFonts w:ascii="Times New Roman" w:hAnsi="Times New Roman" w:cs="Times New Roman"/>
          <w:sz w:val="28"/>
          <w:lang w:val="mk-MK"/>
        </w:rPr>
      </w:pPr>
      <w:r>
        <w:rPr>
          <w:rFonts w:cs="Times New Roman" w:ascii="Times New Roman" w:hAnsi="Times New Roman"/>
          <w:sz w:val="28"/>
          <w:lang w:val="mk-MK"/>
        </w:rPr>
        <w:t xml:space="preserve"> </w:t>
      </w:r>
    </w:p>
    <w:p>
      <w:pPr>
        <w:pStyle w:val="Normal"/>
        <w:bidi w:val="0"/>
        <w:jc w:val="left"/>
        <w:rPr>
          <w:rFonts w:ascii="Times New Roman" w:hAnsi="Times New Roman" w:cs="Times New Roman"/>
          <w:sz w:val="28"/>
          <w:lang w:val="mk-MK"/>
        </w:rPr>
      </w:pPr>
      <w:r>
        <w:rPr>
          <w:rFonts w:cs="Times New Roman" w:ascii="Times New Roman" w:hAnsi="Times New Roman"/>
          <w:b/>
          <w:bCs/>
          <w:sz w:val="28"/>
          <w:lang w:val="mk-MK"/>
        </w:rPr>
        <w:t>Друго влијание имаат фискалниот мултипликатор и мултипликаторот на надврешна трговија.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sz w:val="32"/>
          <w:szCs w:val="32"/>
        </w:rPr>
      </w:pPr>
      <w:r>
        <w:rPr>
          <w:sz w:val="32"/>
          <w:szCs w:val="32"/>
        </w:rPr>
      </w:r>
    </w:p>
    <w:p>
      <w:pPr>
        <w:pStyle w:val="Normal"/>
        <w:bidi w:val="0"/>
        <w:jc w:val="center"/>
        <w:rPr>
          <w:sz w:val="32"/>
          <w:szCs w:val="32"/>
        </w:rPr>
      </w:pPr>
      <w:r>
        <w:rPr>
          <w:sz w:val="32"/>
          <w:szCs w:val="32"/>
        </w:rPr>
        <w:t>Инвестиции</w:t>
      </w:r>
    </w:p>
    <w:p>
      <w:pPr>
        <w:pStyle w:val="Normal"/>
        <w:bidi w:val="0"/>
        <w:jc w:val="left"/>
        <w:rPr/>
      </w:pPr>
      <w:r>
        <w:rPr/>
        <w:tab/>
      </w:r>
    </w:p>
    <w:p>
      <w:pPr>
        <w:pStyle w:val="Normal"/>
        <w:bidi w:val="0"/>
        <w:jc w:val="center"/>
        <w:rPr/>
      </w:pPr>
      <w:r>
        <w:rPr/>
        <w:t>според својата економска суштина, претставуваат зголемување на постојаните капитални фондови.</w:t>
      </w:r>
    </w:p>
    <w:p>
      <w:pPr>
        <w:pStyle w:val="Normal"/>
        <w:bidi w:val="0"/>
        <w:jc w:val="center"/>
        <w:rPr/>
      </w:pPr>
      <w:r>
        <w:rPr/>
      </w:r>
    </w:p>
    <w:p>
      <w:pPr>
        <w:pStyle w:val="Normal"/>
        <w:bidi w:val="0"/>
        <w:jc w:val="left"/>
        <w:rPr/>
      </w:pPr>
      <w:r>
        <w:rPr/>
        <w:t xml:space="preserve">Бруто </w:t>
      </w:r>
    </w:p>
    <w:p>
      <w:pPr>
        <w:pStyle w:val="Normal"/>
        <w:bidi w:val="0"/>
        <w:jc w:val="left"/>
        <w:rPr/>
      </w:pPr>
      <w:r>
        <w:rPr/>
        <w:tab/>
        <w:t>инвестиции е целата маса на инвестиции во една економија во определен временски период, без оглед на  тоа дали станува збор за инвестиции наменети за замена на истрошените капитални фондови или пак за нивно зголемување.</w:t>
      </w:r>
    </w:p>
    <w:p>
      <w:pPr>
        <w:pStyle w:val="Normal"/>
        <w:bidi w:val="0"/>
        <w:jc w:val="left"/>
        <w:rPr/>
      </w:pPr>
      <w:r>
        <w:rPr/>
      </w:r>
    </w:p>
    <w:p>
      <w:pPr>
        <w:pStyle w:val="Normal"/>
        <w:bidi w:val="0"/>
        <w:jc w:val="left"/>
        <w:rPr/>
      </w:pPr>
      <w:r>
        <w:rPr/>
        <w:t>Нето</w:t>
      </w:r>
    </w:p>
    <w:p>
      <w:pPr>
        <w:pStyle w:val="Normal"/>
        <w:bidi w:val="0"/>
        <w:jc w:val="left"/>
        <w:rPr/>
      </w:pPr>
      <w:r>
        <w:rPr/>
        <w:tab/>
        <w:t>инвестии кои го завземаат делот на инвестиции кои реализираат прираст, зголемување на капиталните фондови во економијата над дотегашното ниво. Нето инвестициите се помали за амортизацијата и депресицијацијата.</w:t>
      </w:r>
    </w:p>
    <w:p>
      <w:pPr>
        <w:pStyle w:val="Normal"/>
        <w:bidi w:val="0"/>
        <w:jc w:val="left"/>
        <w:rPr/>
      </w:pPr>
      <w:r>
        <w:rPr/>
      </w:r>
    </w:p>
    <w:p>
      <w:pPr>
        <w:pStyle w:val="Normal"/>
        <w:bidi w:val="0"/>
        <w:jc w:val="center"/>
        <w:rPr>
          <w:sz w:val="32"/>
          <w:szCs w:val="32"/>
        </w:rPr>
      </w:pPr>
      <w:r>
        <w:rPr>
          <w:sz w:val="32"/>
          <w:szCs w:val="32"/>
        </w:rPr>
        <w:t>Детерминанти на инвестициите</w:t>
      </w:r>
    </w:p>
    <w:p>
      <w:pPr>
        <w:pStyle w:val="Normal"/>
        <w:bidi w:val="0"/>
        <w:jc w:val="left"/>
        <w:rPr/>
      </w:pPr>
      <w:r>
        <w:rPr/>
        <w:tab/>
      </w:r>
    </w:p>
    <w:p>
      <w:pPr>
        <w:pStyle w:val="Normal"/>
        <w:bidi w:val="0"/>
        <w:jc w:val="left"/>
        <w:rPr/>
      </w:pPr>
      <w:r>
        <w:rPr/>
        <w:tab/>
        <w:t>на микро ниво : каматна стапка, маргинална стапка на ефикасност на капиталот, очекување на деловните луѓе и технолошкиот развој.</w:t>
      </w:r>
    </w:p>
    <w:p>
      <w:pPr>
        <w:pStyle w:val="Normal"/>
        <w:bidi w:val="0"/>
        <w:jc w:val="left"/>
        <w:rPr/>
      </w:pPr>
      <w:r>
        <w:rPr/>
        <w:tab/>
      </w:r>
      <w:r>
        <w:rPr/>
        <w:t>На макро ниво:</w:t>
      </w:r>
    </w:p>
    <w:p>
      <w:pPr>
        <w:pStyle w:val="Normal"/>
        <w:bidi w:val="0"/>
        <w:jc w:val="left"/>
        <w:rPr/>
      </w:pPr>
      <w:r>
        <w:rPr/>
      </w:r>
    </w:p>
    <w:p>
      <w:pPr>
        <w:pStyle w:val="Normal"/>
        <w:bidi w:val="0"/>
        <w:jc w:val="left"/>
        <w:rPr/>
      </w:pPr>
      <w:r>
        <w:rPr/>
        <w:t>- Штедење</w:t>
      </w:r>
    </w:p>
    <w:p>
      <w:pPr>
        <w:pStyle w:val="Normal"/>
        <w:bidi w:val="0"/>
        <w:jc w:val="left"/>
        <w:rPr/>
      </w:pPr>
      <w:r>
        <w:rPr/>
        <w:tab/>
      </w:r>
      <w:r>
        <w:rPr/>
        <w:t xml:space="preserve">земјите кои имаат висока стапка на штедење во однос на БДП имаат поголема тенденција да инвестираат повеќе и на тој начин се остваруваат подинамични стапки на пораст на бруто домашниот производ. </w:t>
      </w:r>
    </w:p>
    <w:p>
      <w:pPr>
        <w:pStyle w:val="Normal"/>
        <w:bidi w:val="0"/>
        <w:jc w:val="left"/>
        <w:rPr/>
      </w:pPr>
      <w:r>
        <w:rPr/>
        <w:tab/>
      </w:r>
      <w:r>
        <w:rPr/>
        <w:t>Во отворените економии недоволното нациноално штење може да биде андополнето со користењ на надворешни извори на финансирање. (нема поместување на каматните стапки како во затворените економии)</w:t>
      </w:r>
    </w:p>
    <w:p>
      <w:pPr>
        <w:pStyle w:val="Normal"/>
        <w:bidi w:val="0"/>
        <w:jc w:val="left"/>
        <w:rPr/>
      </w:pPr>
      <w:r>
        <w:rPr/>
      </w:r>
    </w:p>
    <w:p>
      <w:pPr>
        <w:pStyle w:val="Normal"/>
        <w:bidi w:val="0"/>
        <w:jc w:val="left"/>
        <w:rPr/>
      </w:pPr>
      <w:r>
        <w:rPr/>
        <w:t xml:space="preserve">- </w:t>
      </w:r>
      <w:r>
        <w:rPr/>
        <w:t>Каматната Стапка</w:t>
      </w:r>
    </w:p>
    <w:p>
      <w:pPr>
        <w:pStyle w:val="Normal"/>
        <w:bidi w:val="0"/>
        <w:jc w:val="left"/>
        <w:rPr/>
      </w:pPr>
      <w:r>
        <w:rPr/>
        <w:tab/>
      </w:r>
      <w:r>
        <w:rPr/>
        <w:t>При инвестирање, инвеститорите ја согледуваат каматната стапка и го согледуваат стапката на враќање на инвестициите.(доколку истата има голем ризик инвеститорите подобро би ги штеделе самите средства него да ги инвестираат во ризични инвестиции)</w:t>
      </w:r>
    </w:p>
    <w:p>
      <w:pPr>
        <w:pStyle w:val="Normal"/>
        <w:bidi w:val="0"/>
        <w:jc w:val="left"/>
        <w:rPr/>
      </w:pPr>
      <w:r>
        <w:rPr/>
      </w:r>
    </w:p>
    <w:p>
      <w:pPr>
        <w:pStyle w:val="Normal"/>
        <w:bidi w:val="0"/>
        <w:jc w:val="left"/>
        <w:rPr/>
      </w:pPr>
      <w:r>
        <w:rPr/>
        <w:t xml:space="preserve">- </w:t>
      </w:r>
      <w:r>
        <w:rPr/>
        <w:t>Очекувањата во економијата</w:t>
      </w:r>
    </w:p>
    <w:p>
      <w:pPr>
        <w:pStyle w:val="Normal"/>
        <w:bidi w:val="0"/>
        <w:jc w:val="left"/>
        <w:rPr/>
      </w:pPr>
      <w:r>
        <w:rPr/>
        <w:tab/>
      </w:r>
      <w:r>
        <w:rPr/>
        <w:t>Голем удел во инвестриањето има состојбата во економијата, доколку самата состојба е неизвесна инвеститорите ќе бидат скептични да инвестираат.</w:t>
      </w:r>
    </w:p>
    <w:p>
      <w:pPr>
        <w:pStyle w:val="Normal"/>
        <w:bidi w:val="0"/>
        <w:jc w:val="left"/>
        <w:rPr/>
      </w:pPr>
      <w:r>
        <w:rPr/>
        <w:tab/>
      </w:r>
      <w:r>
        <w:rPr/>
        <w:t>Ако се очекува експанзија кривата на побарувачка за инвестиции се поместува нагоре кон десно, ако се очекува рецесија се поместува надолу и кон лево.</w:t>
      </w:r>
    </w:p>
    <w:p>
      <w:pPr>
        <w:pStyle w:val="Normal"/>
        <w:bidi w:val="0"/>
        <w:jc w:val="left"/>
        <w:rPr/>
      </w:pPr>
      <w:r>
        <w:rPr/>
      </w:r>
    </w:p>
    <w:p>
      <w:pPr>
        <w:pStyle w:val="Normal"/>
        <w:bidi w:val="0"/>
        <w:jc w:val="center"/>
        <w:rPr>
          <w:sz w:val="32"/>
          <w:szCs w:val="32"/>
        </w:rPr>
      </w:pPr>
      <w:r>
        <w:rPr>
          <w:sz w:val="32"/>
          <w:szCs w:val="32"/>
        </w:rPr>
        <w:t>Улоги на инвестициите</w:t>
      </w:r>
    </w:p>
    <w:p>
      <w:pPr>
        <w:pStyle w:val="Normal"/>
        <w:bidi w:val="0"/>
        <w:jc w:val="center"/>
        <w:rPr>
          <w:sz w:val="32"/>
          <w:szCs w:val="32"/>
        </w:rPr>
      </w:pPr>
      <w:r>
        <w:rPr>
          <w:sz w:val="32"/>
          <w:szCs w:val="32"/>
        </w:rPr>
      </w:r>
    </w:p>
    <w:p>
      <w:pPr>
        <w:pStyle w:val="Normal"/>
        <w:bidi w:val="0"/>
        <w:jc w:val="left"/>
        <w:rPr/>
      </w:pPr>
      <w:r>
        <w:rPr/>
        <w:tab/>
        <w:t>- силна компонента во агрегатната побарувачка.</w:t>
      </w:r>
    </w:p>
    <w:p>
      <w:pPr>
        <w:pStyle w:val="Normal"/>
        <w:bidi w:val="0"/>
        <w:jc w:val="left"/>
        <w:rPr/>
      </w:pPr>
      <w:r>
        <w:rPr/>
        <w:tab/>
        <w:t>- фактор врз долгорочниот аутпут/производните можности.</w:t>
      </w:r>
    </w:p>
    <w:p>
      <w:pPr>
        <w:pStyle w:val="Normal"/>
        <w:bidi w:val="0"/>
        <w:jc w:val="left"/>
        <w:rPr/>
      </w:pPr>
      <w:r>
        <w:rPr/>
      </w:r>
    </w:p>
    <w:p>
      <w:pPr>
        <w:pStyle w:val="Normal"/>
        <w:bidi w:val="0"/>
        <w:jc w:val="left"/>
        <w:rPr/>
      </w:pPr>
      <w:r>
        <w:rPr/>
        <w:t>Инвестициите го раздвижуваат растот на БДП со што расте и вработоеноста. Секое ново работно место помага до зголемување а маргиналната склоност на штедење што прави циклус на дополнително зголемување на инвестициите.</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sz w:val="32"/>
          <w:szCs w:val="32"/>
        </w:rPr>
      </w:pPr>
      <w:r>
        <w:rPr>
          <w:sz w:val="32"/>
          <w:szCs w:val="32"/>
        </w:rPr>
        <w:t>Мултипликатор на инвестициите</w:t>
      </w:r>
    </w:p>
    <w:p>
      <w:pPr>
        <w:pStyle w:val="Normal"/>
        <w:bidi w:val="0"/>
        <w:jc w:val="left"/>
        <w:rPr/>
      </w:pPr>
      <w:r>
        <w:rPr/>
        <w:tab/>
      </w:r>
    </w:p>
    <w:p>
      <w:pPr>
        <w:pStyle w:val="Normal"/>
        <w:bidi w:val="0"/>
        <w:jc w:val="left"/>
        <w:rPr/>
      </w:pPr>
      <w:r>
        <w:rPr/>
        <w:t>овој мултипликатор го покажува ефектот од промените на инвестициите врз вкупниот БДП. (тенденциите на зголемувањето на инвестициите).</w:t>
      </w:r>
    </w:p>
    <w:p>
      <w:pPr>
        <w:pStyle w:val="Normal"/>
        <w:bidi w:val="0"/>
        <w:jc w:val="left"/>
        <w:rPr/>
      </w:pPr>
      <w:r>
        <w:rPr/>
      </w:r>
    </w:p>
    <w:p>
      <w:pPr>
        <w:pStyle w:val="Normal"/>
        <w:bidi w:val="0"/>
        <w:jc w:val="left"/>
        <w:rPr/>
      </w:pPr>
      <w:r>
        <w:rPr/>
      </w:r>
    </w:p>
    <w:p>
      <w:pPr>
        <w:pStyle w:val="Normal"/>
        <w:bidi w:val="0"/>
        <w:jc w:val="left"/>
        <w:rPr/>
      </w:pPr>
      <w:r>
        <w:rPr/>
        <w:t>Склоноста кон потрошувачка * мултипликатор на вработеност/инвестиции = го дефинираат растот на БДП.</w:t>
      </w:r>
    </w:p>
    <w:p>
      <w:pPr>
        <w:pStyle w:val="Normal"/>
        <w:bidi w:val="0"/>
        <w:jc w:val="left"/>
        <w:rPr/>
      </w:pPr>
      <w:r>
        <w:rPr/>
      </w:r>
    </w:p>
    <w:p>
      <w:pPr>
        <w:pStyle w:val="Normal"/>
        <w:bidi w:val="0"/>
        <w:jc w:val="left"/>
        <w:rPr/>
      </w:pPr>
      <w:r>
        <w:rPr/>
        <w:t>Покрај мултипликаторот влијаат други фактори како кризни состојби, намален оптимизам и сл.)</w:t>
      </w:r>
    </w:p>
    <w:p>
      <w:pPr>
        <w:pStyle w:val="Normal"/>
        <w:bidi w:val="0"/>
        <w:jc w:val="left"/>
        <w:rPr/>
      </w:pPr>
      <w:r>
        <w:rPr/>
        <w:t xml:space="preserve"> </w:t>
      </w:r>
    </w:p>
    <w:p>
      <w:pPr>
        <w:pStyle w:val="Normal"/>
        <w:bidi w:val="0"/>
        <w:jc w:val="left"/>
        <w:rPr/>
      </w:pPr>
      <w:r>
        <w:rPr/>
        <w:t>Друго влијание имаат фискалниот мултипликатор и мултипликаторот на надврешна трговија.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sz w:val="32"/>
          <w:szCs w:val="32"/>
        </w:rPr>
      </w:pPr>
      <w:r>
        <w:rPr>
          <w:sz w:val="32"/>
          <w:szCs w:val="32"/>
        </w:rPr>
        <w:t>Извори</w:t>
      </w:r>
    </w:p>
    <w:p>
      <w:pPr>
        <w:pStyle w:val="Normal"/>
        <w:bidi w:val="0"/>
        <w:jc w:val="left"/>
        <w:rPr>
          <w:sz w:val="24"/>
          <w:szCs w:val="24"/>
        </w:rPr>
      </w:pPr>
      <w:r>
        <w:rPr>
          <w:sz w:val="24"/>
          <w:szCs w:val="24"/>
        </w:rPr>
        <w:t>1. Економија ( Основи на Економија) Петто издание – Таки Фити – Скопје 2016 – Култура.</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8</Pages>
  <Words>950</Words>
  <Characters>5839</Characters>
  <CharactersWithSpaces>6748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2022-01-04T10:41:55Z</dcterms:created>
  <dc:creator/>
  <dc:description/>
  <dc:language>en-US</dc:language>
  <cp:lastModifiedBy/>
  <dcterms:modified xsi:type="dcterms:W3CDTF">2022-01-04T10:50:48Z</dcterms:modified>
  <cp:revision>2</cp:revision>
  <dc:subject/>
  <dc:title/>
</cp:coreProperties>
</file>