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MAG7 Financial Youcom Agent Demo Presenter Script</w:t>
      </w:r>
    </w:p>
    <w:p>
      <w:pPr>
        <w:widowControl/>
      </w:pPr>
      <w:r>
        <w:t>Dashboard then Genie Agent then Databricks App</w:t>
      </w:r>
    </w:p>
    <w:p>
      <w:pPr>
        <w:widowControl/>
      </w:pPr>
      <w:r>
        <w:t>Prepared for Alexandre Barreto | Project agent-bricks-fins-era | 10 October 2026</w:t>
      </w:r>
    </w:p>
    <w:p>
      <w:pPr>
        <w:pStyle w:val="Heading1"/>
      </w:pPr>
      <w:r>
        <w:t>How to use this script</w:t>
      </w:r>
    </w:p>
    <w:p>
      <w:pPr>
        <w:widowControl/>
      </w:pPr>
      <w:r>
        <w:t>This is a spoken presenter script and technical rehearsal guide for the 52-page screenshot sequence. The demonstration begins with the standalone Dashboard on source pages 1–6, moves to the Genie Agent on pages 7–30, and finishes in the Databricks App on pages 31–52. Page references throughout mean pages in the supplied screenshot PDF, not pages in this script.</w:t>
      </w:r>
    </w:p>
    <w:p>
      <w:pPr>
        <w:widowControl/>
      </w:pPr>
      <w:r>
        <w:t>The central story is an analyst moving from an overview of seven companies, to questions about their data, to a purpose-built application that keeps conversation and supporting analytical views together. The technical explanation connects each visible behavior to its data, semantic, application, and operational requirements.</w:t>
      </w:r>
    </w:p>
    <w:p>
      <w:pPr>
        <w:widowControl/>
      </w:pPr>
      <w:r>
        <w:t>SHOW identifies the screen and presenter action. SAY is narration that can be delivered aloud. TECHNICAL BRANCH supplies additional detail for an engineering audience. PRESENTER NOTE identifies a limitation or preparation item and is not intended to be read verbatim. TRANSITION provides the spoken link to the next screen.</w:t>
      </w:r>
    </w:p>
    <w:p>
      <w:pPr>
        <w:widowControl/>
      </w:pPr>
      <w:r>
        <w:t>Evidence discipline: the screenshots verify the visible application behavior, displayed results, selected SQL, dashboard labels, and request telemetry. They do not verify the repository, ingestion implementation, complete agent configuration, exact web connector, retrieval index, deployment pipeline, frontend framework, or effective runtime permissions. Implementation branches below are explicitly described as recommended designs when those details are not visible. A working UI alone does not establish that every Databricks best practice is already implemented.</w:t>
      </w:r>
    </w:p>
    <w:p>
      <w:pPr>
        <w:widowControl/>
      </w:pPr>
      <w:r>
        <w:t>The source repository was not available for inspection in this session. The two reference files named 3. POC Data Guide_vPDF.pdf and 2. RFP POC Requirements_vPDF.pdf were also unavailable. No requirements or implementation claims are attributed to those files. The supplied screenshot PDF and accessible Databricks reference materials support this script. Current official documentation was checked on 10 October 2026. [S1–S6, W1–W6]</w:t>
      </w:r>
    </w:p>
    <w:p>
      <w:pPr>
        <w:pStyle w:val="Heading1"/>
      </w:pPr>
      <w:r>
        <w:t>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152"/>
        <w:gridCol w:w="1440"/>
        <w:gridCol w:w="4666"/>
      </w:tblGrid>
      <w:tr>
        <w:trPr>
          <w:tblHeader/>
          <w:cantSplit/>
        </w:trPr>
        <w:tc>
          <w:tcPr>
            <w:tcW w:type="dxa" w:w="2736"/>
            <w:vAlign w:val="center"/>
            <w:tcMar>
              <w:top w:w="90" w:type="dxa"/>
              <w:bottom w:w="90" w:type="dxa"/>
              <w:left w:w="90" w:type="dxa"/>
              <w:right w:w="90" w:type="dxa"/>
            </w:tcMar>
            <w:shd w:fill="24334B"/>
          </w:tcPr>
          <w:p>
            <w:pPr>
              <w:spacing w:after="40" w:before="40" w:line="252" w:lineRule="auto"/>
            </w:pPr>
            <w:r>
              <w:rPr>
                <w:b/>
                <w:color w:val="FFFFFF"/>
                <w:sz w:val="19"/>
              </w:rPr>
              <w:t>Segment</w:t>
            </w:r>
          </w:p>
        </w:tc>
        <w:tc>
          <w:tcPr>
            <w:tcW w:type="dxa" w:w="1152"/>
            <w:vAlign w:val="center"/>
            <w:tcMar>
              <w:top w:w="90" w:type="dxa"/>
              <w:bottom w:w="90" w:type="dxa"/>
              <w:left w:w="90" w:type="dxa"/>
              <w:right w:w="90" w:type="dxa"/>
            </w:tcMar>
            <w:shd w:fill="24334B"/>
          </w:tcPr>
          <w:p>
            <w:pPr>
              <w:spacing w:after="40" w:before="40" w:line="252" w:lineRule="auto"/>
            </w:pPr>
            <w:r>
              <w:rPr>
                <w:b/>
                <w:color w:val="FFFFFF"/>
                <w:sz w:val="19"/>
              </w:rPr>
              <w:t>Source pages</w:t>
            </w:r>
          </w:p>
        </w:tc>
        <w:tc>
          <w:tcPr>
            <w:tcW w:type="dxa" w:w="1440"/>
            <w:vAlign w:val="center"/>
            <w:tcMar>
              <w:top w:w="90" w:type="dxa"/>
              <w:bottom w:w="90" w:type="dxa"/>
              <w:left w:w="90" w:type="dxa"/>
              <w:right w:w="90" w:type="dxa"/>
            </w:tcMar>
            <w:shd w:fill="24334B"/>
          </w:tcPr>
          <w:p>
            <w:pPr>
              <w:spacing w:after="40" w:before="40" w:line="252" w:lineRule="auto"/>
            </w:pPr>
            <w:r>
              <w:rPr>
                <w:b/>
                <w:color w:val="FFFFFF"/>
                <w:sz w:val="19"/>
              </w:rPr>
              <w:t>Core delivery</w:t>
            </w:r>
          </w:p>
        </w:tc>
        <w:tc>
          <w:tcPr>
            <w:tcW w:type="dxa" w:w="4666"/>
            <w:vAlign w:val="center"/>
            <w:tcMar>
              <w:top w:w="90" w:type="dxa"/>
              <w:bottom w:w="90" w:type="dxa"/>
              <w:left w:w="90" w:type="dxa"/>
              <w:right w:w="90" w:type="dxa"/>
            </w:tcMar>
            <w:shd w:fill="24334B"/>
          </w:tcPr>
          <w:p>
            <w:pPr>
              <w:spacing w:after="40" w:before="40" w:line="252" w:lineRule="auto"/>
            </w:pPr>
            <w:r>
              <w:rPr>
                <w:b/>
                <w:color w:val="FFFFFF"/>
                <w:sz w:val="19"/>
              </w:rPr>
              <w:t>Optional depth</w:t>
            </w:r>
          </w:p>
        </w:tc>
      </w:tr>
      <w:tr>
        <w:trPr>
          <w:cantSplit/>
        </w:trPr>
        <w:tc>
          <w:tcPr>
            <w:tcW w:type="dxa" w:w="2736"/>
            <w:vAlign w:val="center"/>
            <w:tcMar>
              <w:top w:w="90" w:type="dxa"/>
              <w:bottom w:w="90" w:type="dxa"/>
              <w:left w:w="90" w:type="dxa"/>
              <w:right w:w="90" w:type="dxa"/>
            </w:tcMar>
            <w:shd w:fill="FFFFFF"/>
          </w:tcPr>
          <w:p>
            <w:pPr>
              <w:spacing w:after="40" w:before="40" w:line="252" w:lineRule="auto"/>
            </w:pPr>
            <w:r>
              <w:rPr>
                <w:sz w:val="19"/>
              </w:rPr>
              <w:t>Opening and market context</w:t>
            </w:r>
          </w:p>
        </w:tc>
        <w:tc>
          <w:tcPr>
            <w:tcW w:type="dxa" w:w="1152"/>
            <w:vAlign w:val="center"/>
            <w:tcMar>
              <w:top w:w="90" w:type="dxa"/>
              <w:bottom w:w="90" w:type="dxa"/>
              <w:left w:w="90" w:type="dxa"/>
              <w:right w:w="90" w:type="dxa"/>
            </w:tcMar>
            <w:shd w:fill="FFFFFF"/>
          </w:tcPr>
          <w:p>
            <w:pPr>
              <w:spacing w:after="40" w:before="40" w:line="252" w:lineRule="auto"/>
            </w:pPr>
            <w:r>
              <w:rPr>
                <w:sz w:val="19"/>
              </w:rPr>
              <w:t>1</w:t>
            </w:r>
          </w:p>
        </w:tc>
        <w:tc>
          <w:tcPr>
            <w:tcW w:type="dxa" w:w="1440"/>
            <w:vAlign w:val="center"/>
            <w:tcMar>
              <w:top w:w="90" w:type="dxa"/>
              <w:bottom w:w="90" w:type="dxa"/>
              <w:left w:w="90" w:type="dxa"/>
              <w:right w:w="90" w:type="dxa"/>
            </w:tcMar>
            <w:shd w:fill="FFFFFF"/>
          </w:tcPr>
          <w:p>
            <w:pPr>
              <w:spacing w:after="40" w:before="40" w:line="252" w:lineRule="auto"/>
            </w:pPr>
            <w:r>
              <w:rPr>
                <w:sz w:val="19"/>
              </w:rPr>
              <w:t>2 minutes</w:t>
            </w:r>
          </w:p>
        </w:tc>
        <w:tc>
          <w:tcPr>
            <w:tcW w:type="dxa" w:w="4666"/>
            <w:vAlign w:val="center"/>
            <w:tcMar>
              <w:top w:w="90" w:type="dxa"/>
              <w:bottom w:w="90" w:type="dxa"/>
              <w:left w:w="90" w:type="dxa"/>
              <w:right w:w="90" w:type="dxa"/>
            </w:tcMar>
            <w:shd w:fill="FFFFFF"/>
          </w:tcPr>
          <w:p>
            <w:pPr>
              <w:spacing w:after="40" w:before="40" w:line="252" w:lineRule="auto"/>
            </w:pPr>
            <w:r>
              <w:rPr>
                <w:sz w:val="19"/>
              </w:rPr>
              <w:t>Data grain and as of dates</w:t>
            </w:r>
          </w:p>
        </w:tc>
      </w:tr>
      <w:tr>
        <w:trPr>
          <w:cantSplit/>
        </w:trPr>
        <w:tc>
          <w:tcPr>
            <w:tcW w:type="dxa" w:w="2736"/>
            <w:vAlign w:val="center"/>
            <w:tcMar>
              <w:top w:w="90" w:type="dxa"/>
              <w:bottom w:w="90" w:type="dxa"/>
              <w:left w:w="90" w:type="dxa"/>
              <w:right w:w="90" w:type="dxa"/>
            </w:tcMar>
            <w:shd w:fill="F2F4F6"/>
          </w:tcPr>
          <w:p>
            <w:pPr>
              <w:spacing w:after="40" w:before="40" w:line="252" w:lineRule="auto"/>
            </w:pPr>
            <w:r>
              <w:rPr>
                <w:sz w:val="19"/>
              </w:rPr>
              <w:t>Dashboard walkthrough</w:t>
            </w:r>
          </w:p>
        </w:tc>
        <w:tc>
          <w:tcPr>
            <w:tcW w:type="dxa" w:w="1152"/>
            <w:vAlign w:val="center"/>
            <w:tcMar>
              <w:top w:w="90" w:type="dxa"/>
              <w:bottom w:w="90" w:type="dxa"/>
              <w:left w:w="90" w:type="dxa"/>
              <w:right w:w="90" w:type="dxa"/>
            </w:tcMar>
            <w:shd w:fill="F2F4F6"/>
          </w:tcPr>
          <w:p>
            <w:pPr>
              <w:spacing w:after="40" w:before="40" w:line="252" w:lineRule="auto"/>
            </w:pPr>
            <w:r>
              <w:rPr>
                <w:sz w:val="19"/>
              </w:rPr>
              <w:t>1–6</w:t>
            </w:r>
          </w:p>
        </w:tc>
        <w:tc>
          <w:tcPr>
            <w:tcW w:type="dxa" w:w="1440"/>
            <w:vAlign w:val="center"/>
            <w:tcMar>
              <w:top w:w="90" w:type="dxa"/>
              <w:bottom w:w="90" w:type="dxa"/>
              <w:left w:w="90" w:type="dxa"/>
              <w:right w:w="90" w:type="dxa"/>
            </w:tcMar>
            <w:shd w:fill="F2F4F6"/>
          </w:tcPr>
          <w:p>
            <w:pPr>
              <w:spacing w:after="40" w:before="40" w:line="252" w:lineRule="auto"/>
            </w:pPr>
            <w:r>
              <w:rPr>
                <w:sz w:val="19"/>
              </w:rPr>
              <w:t>8 minutes</w:t>
            </w:r>
          </w:p>
        </w:tc>
        <w:tc>
          <w:tcPr>
            <w:tcW w:type="dxa" w:w="4666"/>
            <w:vAlign w:val="center"/>
            <w:tcMar>
              <w:top w:w="90" w:type="dxa"/>
              <w:bottom w:w="90" w:type="dxa"/>
              <w:left w:w="90" w:type="dxa"/>
              <w:right w:w="90" w:type="dxa"/>
            </w:tcMar>
            <w:shd w:fill="F2F4F6"/>
          </w:tcPr>
          <w:p>
            <w:pPr>
              <w:spacing w:after="40" w:before="40" w:line="252" w:lineRule="auto"/>
            </w:pPr>
            <w:r>
              <w:rPr>
                <w:sz w:val="19"/>
              </w:rPr>
              <w:t>Dataset design and monitoring</w:t>
            </w:r>
          </w:p>
        </w:tc>
      </w:tr>
      <w:tr>
        <w:trPr>
          <w:cantSplit/>
        </w:trPr>
        <w:tc>
          <w:tcPr>
            <w:tcW w:type="dxa" w:w="2736"/>
            <w:vAlign w:val="center"/>
            <w:tcMar>
              <w:top w:w="90" w:type="dxa"/>
              <w:bottom w:w="90" w:type="dxa"/>
              <w:left w:w="90" w:type="dxa"/>
              <w:right w:w="90" w:type="dxa"/>
            </w:tcMar>
            <w:shd w:fill="FFFFFF"/>
          </w:tcPr>
          <w:p>
            <w:pPr>
              <w:spacing w:after="40" w:before="40" w:line="252" w:lineRule="auto"/>
            </w:pPr>
            <w:r>
              <w:rPr>
                <w:sz w:val="19"/>
              </w:rPr>
              <w:t>Genie Agent walkthrough</w:t>
            </w:r>
          </w:p>
        </w:tc>
        <w:tc>
          <w:tcPr>
            <w:tcW w:type="dxa" w:w="1152"/>
            <w:vAlign w:val="center"/>
            <w:tcMar>
              <w:top w:w="90" w:type="dxa"/>
              <w:bottom w:w="90" w:type="dxa"/>
              <w:left w:w="90" w:type="dxa"/>
              <w:right w:w="90" w:type="dxa"/>
            </w:tcMar>
            <w:shd w:fill="FFFFFF"/>
          </w:tcPr>
          <w:p>
            <w:pPr>
              <w:spacing w:after="40" w:before="40" w:line="252" w:lineRule="auto"/>
            </w:pPr>
            <w:r>
              <w:rPr>
                <w:sz w:val="19"/>
              </w:rPr>
              <w:t>7–30</w:t>
            </w:r>
          </w:p>
        </w:tc>
        <w:tc>
          <w:tcPr>
            <w:tcW w:type="dxa" w:w="1440"/>
            <w:vAlign w:val="center"/>
            <w:tcMar>
              <w:top w:w="90" w:type="dxa"/>
              <w:bottom w:w="90" w:type="dxa"/>
              <w:left w:w="90" w:type="dxa"/>
              <w:right w:w="90" w:type="dxa"/>
            </w:tcMar>
            <w:shd w:fill="FFFFFF"/>
          </w:tcPr>
          <w:p>
            <w:pPr>
              <w:spacing w:after="40" w:before="40" w:line="252" w:lineRule="auto"/>
            </w:pPr>
            <w:r>
              <w:rPr>
                <w:sz w:val="19"/>
              </w:rPr>
              <w:t>15 minutes</w:t>
            </w:r>
          </w:p>
        </w:tc>
        <w:tc>
          <w:tcPr>
            <w:tcW w:type="dxa" w:w="4666"/>
            <w:vAlign w:val="center"/>
            <w:tcMar>
              <w:top w:w="90" w:type="dxa"/>
              <w:bottom w:w="90" w:type="dxa"/>
              <w:left w:w="90" w:type="dxa"/>
              <w:right w:w="90" w:type="dxa"/>
            </w:tcMar>
            <w:shd w:fill="FFFFFF"/>
          </w:tcPr>
          <w:p>
            <w:pPr>
              <w:spacing w:after="40" w:before="40" w:line="252" w:lineRule="auto"/>
            </w:pPr>
            <w:r>
              <w:rPr>
                <w:sz w:val="19"/>
              </w:rPr>
              <w:t>SQL semantics and evaluation</w:t>
            </w:r>
          </w:p>
        </w:tc>
      </w:tr>
      <w:tr>
        <w:trPr>
          <w:cantSplit/>
        </w:trPr>
        <w:tc>
          <w:tcPr>
            <w:tcW w:type="dxa" w:w="2736"/>
            <w:vAlign w:val="center"/>
            <w:tcMar>
              <w:top w:w="90" w:type="dxa"/>
              <w:bottom w:w="90" w:type="dxa"/>
              <w:left w:w="90" w:type="dxa"/>
              <w:right w:w="90" w:type="dxa"/>
            </w:tcMar>
            <w:shd w:fill="F2F4F6"/>
          </w:tcPr>
          <w:p>
            <w:pPr>
              <w:spacing w:after="40" w:before="40" w:line="252" w:lineRule="auto"/>
            </w:pPr>
            <w:r>
              <w:rPr>
                <w:sz w:val="19"/>
              </w:rPr>
              <w:t>Databricks App walkthrough</w:t>
            </w:r>
          </w:p>
        </w:tc>
        <w:tc>
          <w:tcPr>
            <w:tcW w:type="dxa" w:w="1152"/>
            <w:vAlign w:val="center"/>
            <w:tcMar>
              <w:top w:w="90" w:type="dxa"/>
              <w:bottom w:w="90" w:type="dxa"/>
              <w:left w:w="90" w:type="dxa"/>
              <w:right w:w="90" w:type="dxa"/>
            </w:tcMar>
            <w:shd w:fill="F2F4F6"/>
          </w:tcPr>
          <w:p>
            <w:pPr>
              <w:spacing w:after="40" w:before="40" w:line="252" w:lineRule="auto"/>
            </w:pPr>
            <w:r>
              <w:rPr>
                <w:sz w:val="19"/>
              </w:rPr>
              <w:t>31–52</w:t>
            </w:r>
          </w:p>
        </w:tc>
        <w:tc>
          <w:tcPr>
            <w:tcW w:type="dxa" w:w="1440"/>
            <w:vAlign w:val="center"/>
            <w:tcMar>
              <w:top w:w="90" w:type="dxa"/>
              <w:bottom w:w="90" w:type="dxa"/>
              <w:left w:w="90" w:type="dxa"/>
              <w:right w:w="90" w:type="dxa"/>
            </w:tcMar>
            <w:shd w:fill="F2F4F6"/>
          </w:tcPr>
          <w:p>
            <w:pPr>
              <w:spacing w:after="40" w:before="40" w:line="252" w:lineRule="auto"/>
            </w:pPr>
            <w:r>
              <w:rPr>
                <w:sz w:val="19"/>
              </w:rPr>
              <w:t>15 minutes</w:t>
            </w:r>
          </w:p>
        </w:tc>
        <w:tc>
          <w:tcPr>
            <w:tcW w:type="dxa" w:w="4666"/>
            <w:vAlign w:val="center"/>
            <w:tcMar>
              <w:top w:w="90" w:type="dxa"/>
              <w:bottom w:w="90" w:type="dxa"/>
              <w:left w:w="90" w:type="dxa"/>
              <w:right w:w="90" w:type="dxa"/>
            </w:tcMar>
            <w:shd w:fill="F2F4F6"/>
          </w:tcPr>
          <w:p>
            <w:pPr>
              <w:spacing w:after="40" w:before="40" w:line="252" w:lineRule="auto"/>
            </w:pPr>
            <w:r>
              <w:rPr>
                <w:sz w:val="19"/>
              </w:rPr>
              <w:t>Auth, API boundaries, graph design</w:t>
            </w:r>
          </w:p>
        </w:tc>
      </w:tr>
      <w:tr>
        <w:trPr>
          <w:cantSplit/>
        </w:trPr>
        <w:tc>
          <w:tcPr>
            <w:tcW w:type="dxa" w:w="2736"/>
            <w:vAlign w:val="center"/>
            <w:tcMar>
              <w:top w:w="90" w:type="dxa"/>
              <w:bottom w:w="90" w:type="dxa"/>
              <w:left w:w="90" w:type="dxa"/>
              <w:right w:w="90" w:type="dxa"/>
            </w:tcMar>
            <w:shd w:fill="FFFFFF"/>
          </w:tcPr>
          <w:p>
            <w:pPr>
              <w:spacing w:after="40" w:before="40" w:line="252" w:lineRule="auto"/>
            </w:pPr>
            <w:r>
              <w:rPr>
                <w:sz w:val="19"/>
              </w:rPr>
              <w:t>Closing</w:t>
            </w:r>
          </w:p>
        </w:tc>
        <w:tc>
          <w:tcPr>
            <w:tcW w:type="dxa" w:w="1152"/>
            <w:vAlign w:val="center"/>
            <w:tcMar>
              <w:top w:w="90" w:type="dxa"/>
              <w:bottom w:w="90" w:type="dxa"/>
              <w:left w:w="90" w:type="dxa"/>
              <w:right w:w="90" w:type="dxa"/>
            </w:tcMar>
            <w:shd w:fill="FFFFFF"/>
          </w:tcPr>
          <w:p>
            <w:pPr>
              <w:spacing w:after="40" w:before="40" w:line="252" w:lineRule="auto"/>
            </w:pPr>
            <w:r>
              <w:rPr>
                <w:sz w:val="19"/>
              </w:rPr>
              <w:t>52</w:t>
            </w:r>
          </w:p>
        </w:tc>
        <w:tc>
          <w:tcPr>
            <w:tcW w:type="dxa" w:w="1440"/>
            <w:vAlign w:val="center"/>
            <w:tcMar>
              <w:top w:w="90" w:type="dxa"/>
              <w:bottom w:w="90" w:type="dxa"/>
              <w:left w:w="90" w:type="dxa"/>
              <w:right w:w="90" w:type="dxa"/>
            </w:tcMar>
            <w:shd w:fill="FFFFFF"/>
          </w:tcPr>
          <w:p>
            <w:pPr>
              <w:spacing w:after="40" w:before="40" w:line="252" w:lineRule="auto"/>
            </w:pPr>
            <w:r>
              <w:rPr>
                <w:sz w:val="19"/>
              </w:rPr>
              <w:t>2 minutes</w:t>
            </w:r>
          </w:p>
        </w:tc>
        <w:tc>
          <w:tcPr>
            <w:tcW w:type="dxa" w:w="4666"/>
            <w:vAlign w:val="center"/>
            <w:tcMar>
              <w:top w:w="90" w:type="dxa"/>
              <w:bottom w:w="90" w:type="dxa"/>
              <w:left w:w="90" w:type="dxa"/>
              <w:right w:w="90" w:type="dxa"/>
            </w:tcMar>
            <w:shd w:fill="FFFFFF"/>
          </w:tcPr>
          <w:p>
            <w:pPr>
              <w:spacing w:after="40" w:before="40" w:line="252" w:lineRule="auto"/>
            </w:pPr>
            <w:r>
              <w:rPr>
                <w:sz w:val="19"/>
              </w:rPr>
              <w:t>Acceptance criteria</w:t>
            </w:r>
          </w:p>
        </w:tc>
      </w:tr>
      <w:tr>
        <w:trPr>
          <w:cantSplit/>
        </w:trPr>
        <w:tc>
          <w:tcPr>
            <w:tcW w:type="dxa" w:w="2736"/>
            <w:vAlign w:val="center"/>
            <w:tcMar>
              <w:top w:w="90" w:type="dxa"/>
              <w:bottom w:w="90" w:type="dxa"/>
              <w:left w:w="90" w:type="dxa"/>
              <w:right w:w="90" w:type="dxa"/>
            </w:tcMar>
            <w:shd w:fill="F2F4F6"/>
          </w:tcPr>
          <w:p>
            <w:pPr>
              <w:spacing w:after="40" w:before="40" w:line="252" w:lineRule="auto"/>
            </w:pPr>
            <w:r>
              <w:rPr>
                <w:sz w:val="19"/>
              </w:rPr>
              <w:t>Technical discussion</w:t>
            </w:r>
          </w:p>
        </w:tc>
        <w:tc>
          <w:tcPr>
            <w:tcW w:type="dxa" w:w="1152"/>
            <w:vAlign w:val="center"/>
            <w:tcMar>
              <w:top w:w="90" w:type="dxa"/>
              <w:bottom w:w="90" w:type="dxa"/>
              <w:left w:w="90" w:type="dxa"/>
              <w:right w:w="90" w:type="dxa"/>
            </w:tcMar>
            <w:shd w:fill="F2F4F6"/>
          </w:tcPr>
          <w:p>
            <w:pPr>
              <w:spacing w:after="40" w:before="40" w:line="252" w:lineRule="auto"/>
            </w:pPr>
            <w:r>
              <w:rPr>
                <w:sz w:val="19"/>
              </w:rPr>
              <w:t>Appendix</w:t>
            </w:r>
          </w:p>
        </w:tc>
        <w:tc>
          <w:tcPr>
            <w:tcW w:type="dxa" w:w="1440"/>
            <w:vAlign w:val="center"/>
            <w:tcMar>
              <w:top w:w="90" w:type="dxa"/>
              <w:bottom w:w="90" w:type="dxa"/>
              <w:left w:w="90" w:type="dxa"/>
              <w:right w:w="90" w:type="dxa"/>
            </w:tcMar>
            <w:shd w:fill="F2F4F6"/>
          </w:tcPr>
          <w:p>
            <w:pPr>
              <w:spacing w:after="40" w:before="40" w:line="252" w:lineRule="auto"/>
            </w:pPr>
            <w:r>
              <w:rPr>
                <w:sz w:val="19"/>
              </w:rPr>
              <w:t>15–20 minutes</w:t>
            </w:r>
          </w:p>
        </w:tc>
        <w:tc>
          <w:tcPr>
            <w:tcW w:type="dxa" w:w="4666"/>
            <w:vAlign w:val="center"/>
            <w:tcMar>
              <w:top w:w="90" w:type="dxa"/>
              <w:bottom w:w="90" w:type="dxa"/>
              <w:left w:w="90" w:type="dxa"/>
              <w:right w:w="90" w:type="dxa"/>
            </w:tcMar>
            <w:shd w:fill="F2F4F6"/>
          </w:tcPr>
          <w:p>
            <w:pPr>
              <w:spacing w:after="40" w:before="40" w:line="252" w:lineRule="auto"/>
            </w:pPr>
            <w:r>
              <w:rPr>
                <w:sz w:val="19"/>
              </w:rPr>
              <w:t>Architecture and implementation defense</w:t>
            </w:r>
          </w:p>
        </w:tc>
      </w:tr>
    </w:tbl>
    <w:p>
      <w:pPr>
        <w:widowControl/>
      </w:pPr>
      <w:r>
        <w:t>The core route is approximately 42 minutes including screen changes and brief pauses. The technical branches extend it to a 60–75 minute workshop. A 25-minute version is provided near the end. Avoid reading every technical branch during the core delivery.</w:t>
      </w:r>
    </w:p>
    <w:p>
      <w:pPr>
        <w:pStyle w:val="Heading1"/>
      </w:pPr>
      <w:r>
        <w:t>Preparation before the audience arrives</w:t>
      </w:r>
    </w:p>
    <w:p>
      <w:pPr>
        <w:widowControl/>
      </w:pPr>
      <w:r>
        <w:t>Open three browser tabs in the required order: the published Dashboard, the Genie Agent conversation, and the Databricks App. Use the PDF as a clearly identified recorded fallback. Put each screen at its starting position. Collapse unnecessary navigation and close account menus or unrelated browser tabs. Keep the original screenshot numbering available in presenter notes.</w:t>
      </w:r>
    </w:p>
    <w:p>
      <w:pPr>
        <w:widowControl/>
      </w:pPr>
      <w:r>
        <w:t>Confirm the displayed dataset date range before speaking. Several answers use data through 24 November 2025 even though the screenshots were captured in October 2026. Describe these as results from the demonstration dataset. Do not describe them as current market prices. Anchor relative prompts such as the past six months to the dataset maximum date when that is the intended demo behavior.</w:t>
      </w:r>
    </w:p>
    <w:p>
      <w:pPr>
        <w:widowControl/>
      </w:pPr>
      <w:r>
        <w:t>Rehearse the exact saved prompts once. If a newly generated answer differs from a screenshot, inspect its time range and SQL before asserting a discrepancy. A recorded screenshot is a reference result, not a guarantee that a live request returns identical prose.</w:t>
      </w:r>
    </w:p>
    <w:p>
      <w:pPr>
        <w:widowControl/>
      </w:pPr>
      <w:r>
        <w:t>Resolve or explicitly acknowledge the visible differences in document counts and average volume. The standalone dashboard shows 634 documents, while Genie shows 303 in one analysis and 292 in another. The standalone market dashboard shows 70.46M average daily volume; the in-app dashboard shows 24.2M. Neither discrepancy has a verified explanation in the available materials.</w:t>
      </w:r>
    </w:p>
    <w:p>
      <w:pPr>
        <w:widowControl/>
      </w:pPr>
      <w:r>
        <w:t>Use the presenter's authenticated session only for the demo audience intended to see it. For a security discussion, have a separate least-privileged test identity ready. An administrator's successful query is not evidence of correct analyst permissions.</w:t>
      </w:r>
    </w:p>
    <w:p>
      <w:pPr>
        <w:pStyle w:val="Heading1"/>
      </w:pPr>
      <w:r>
        <w:t>Scene 1 Opening and the analyst problem</w:t>
      </w:r>
    </w:p>
    <w:p>
      <w:pPr>
        <w:widowControl/>
      </w:pPr>
      <w:r>
        <w:rPr>
          <w:b/>
        </w:rPr>
        <w:t xml:space="preserve">SHOW: </w:t>
      </w:r>
      <w:r>
        <w:t>Source page 1. Standalone Dashboard, Market Overview tab. Pause with the title MAG7 Financial You.com Agent and the Financial Research Agent banner visible.</w:t>
      </w:r>
    </w:p>
    <w:p>
      <w:pPr>
        <w:keepNext/>
        <w:widowControl/>
        <w:spacing w:after="60"/>
      </w:pPr>
      <w:r>
        <w:rPr>
          <w:b/>
        </w:rPr>
        <w:t xml:space="preserve">SAY: </w:t>
      </w:r>
      <w:r/>
    </w:p>
    <w:p>
      <w:pPr>
        <w:widowControl/>
      </w:pPr>
      <w:r>
        <w:t>We built this demonstration around a familiar research workflow. We start with seven companies, a body of financial documents, and a set of market observations. We need to understand the landscape, ask more specific questions, and inspect the evidence behind an answer without continually switching between tools.</w:t>
      </w:r>
    </w:p>
    <w:p>
      <w:pPr>
        <w:widowControl/>
      </w:pPr>
      <w:r>
        <w:t>We will walk through three experiences in order. First, the dashboard establishes the market and research context. Next, the Genie Agent lets us investigate that data in natural language. Finally, the Databricks App brings the conversation, SQL, relationship graph, and analytical views into one workspace.</w:t>
      </w:r>
    </w:p>
    <w:p>
      <w:pPr>
        <w:widowControl/>
      </w:pPr>
      <w:r>
        <w:t>The seven-company scope gives us a manageable domain in which to examine the quality of the analysis. As we proceed, we will pay attention to the definition of each metric, the period it covers, and the evidence available to support it. The goal is to make research easier to inspect and reproduce.</w:t>
      </w:r>
    </w:p>
    <w:p>
      <w:pPr>
        <w:widowControl/>
      </w:pPr>
      <w:r>
        <w:rPr>
          <w:b/>
        </w:rPr>
        <w:t xml:space="preserve">PRESENTER NOTE: </w:t>
      </w:r>
      <w:r>
        <w:t>The banner mentions filings, market data, and live web research powered by You.com. The recorded sequence primarily demonstrates structured analysis and document inventory. The banner establishes product positioning, not proof that a live You.com tool executed during these screenshots.</w:t>
      </w:r>
    </w:p>
    <w:p>
      <w:pPr>
        <w:widowControl/>
      </w:pPr>
      <w:r>
        <w:rPr>
          <w:b/>
        </w:rPr>
        <w:t xml:space="preserve">TRANSITION: </w:t>
      </w:r>
      <w:r>
        <w:t>We will first establish what the dashboard contains and how to interpret its headline numbers.</w:t>
      </w:r>
    </w:p>
    <w:p>
      <w:pPr>
        <w:pStyle w:val="Heading1"/>
      </w:pPr>
      <w:r>
        <w:t>Scene 2 Market overview and the data contract</w:t>
      </w:r>
    </w:p>
    <w:p>
      <w:pPr>
        <w:widowControl/>
      </w:pPr>
      <w:r>
        <w:rPr>
          <w:b/>
        </w:rPr>
        <w:t xml:space="preserve">SHOW: </w:t>
      </w:r>
      <w:r>
        <w:t>Source page 1. Point to Total Market Cap Latest, Avg Daily Volume, and Companies Tracked. Then trace the stock-price chart and the two lower comparison charts.</w:t>
      </w:r>
    </w:p>
    <w:p>
      <w:pPr>
        <w:keepNext/>
        <w:widowControl/>
        <w:spacing w:after="60"/>
      </w:pPr>
      <w:r>
        <w:rPr>
          <w:b/>
        </w:rPr>
        <w:t xml:space="preserve">SAY: </w:t>
      </w:r>
      <w:r/>
    </w:p>
    <w:p>
      <w:pPr>
        <w:widowControl/>
      </w:pPr>
      <w:r>
        <w:t>At the top, the dashboard reports approximately 21.1 trillion dollars in market capitalization and seven companies tracked. The volume card shows 70.46 million in this captured view. Below it, we can compare the price histories, the relative market capitalizations, and trading volume by company.</w:t>
      </w:r>
    </w:p>
    <w:p>
      <w:pPr>
        <w:widowControl/>
      </w:pPr>
      <w:r>
        <w:t>These cards answer different questions. Market capitalization is a point-in-time measure. Average daily volume describes activity across a period. The company count defines the coverage universe. We need a date and an aggregation rule for each measure before treating them as a consistent analytical picture.</w:t>
      </w:r>
    </w:p>
    <w:p>
      <w:pPr>
        <w:widowControl/>
      </w:pPr>
      <w:r>
        <w:t>The price chart is useful for understanding the path of each series. A company with a higher dollar share price is not automatically a larger business or a better performer. For performance comparison, we would use percentage returns or an indexed series with the same starting date. The market-cap chart answers the business-size question separately.</w:t>
      </w:r>
    </w:p>
    <w:p>
      <w:pPr>
        <w:keepNext/>
        <w:widowControl/>
        <w:spacing w:after="60"/>
      </w:pPr>
      <w:r>
        <w:rPr>
          <w:b/>
        </w:rPr>
        <w:t xml:space="preserve">TECHNICAL BRANCH: </w:t>
      </w:r>
      <w:r/>
    </w:p>
    <w:p>
      <w:pPr>
        <w:widowControl/>
      </w:pPr>
      <w:r>
        <w:t>The implementation should define a unique company-and-trading-date grain for daily observations. A sum of market capitalization across all historical rows would count the same company repeatedly. A latest-market-cap calculation needs one eligible observation per company, with an explicit rule for a common date or for the latest available date per company. The result should disclose which rule it uses.</w:t>
      </w:r>
    </w:p>
    <w:p>
      <w:pPr>
        <w:widowControl/>
      </w:pPr>
      <w:r>
        <w:t>Volume also needs a contract. Average company-day volume, the average of company averages, and average daily total volume across all seven companies are different calculations. Missing days can make an unweighted average of averages differ from an average across observations. We should implement each intended metric once in a shared SQL view or semantic definition and reuse it across consumers.</w:t>
      </w:r>
    </w:p>
    <w:p>
      <w:pPr>
        <w:widowControl/>
      </w:pPr>
      <w:r>
        <w:rPr>
          <w:b/>
        </w:rPr>
        <w:t xml:space="preserve">PRESENTER NOTE: </w:t>
      </w:r>
      <w:r>
        <w:t>A shared semantic layer is a recommended implementation pattern. The screenshots do not show a metric-view definition or prove that every chart currently uses the same shared view. The visible volume discrepancy is a reason to verify this.</w:t>
      </w:r>
    </w:p>
    <w:p>
      <w:pPr>
        <w:widowControl/>
      </w:pPr>
      <w:r>
        <w:rPr>
          <w:b/>
        </w:rPr>
        <w:t xml:space="preserve">TRANSITION: </w:t>
      </w:r>
      <w:r>
        <w:t>With the market universe established, we can move to how the companies are valued.</w:t>
      </w:r>
    </w:p>
    <w:p>
      <w:pPr>
        <w:pStyle w:val="Heading1"/>
      </w:pPr>
      <w:r>
        <w:t>Scene 3 Valuation metrics and comparable measures</w:t>
      </w:r>
    </w:p>
    <w:p>
      <w:pPr>
        <w:widowControl/>
      </w:pPr>
      <w:r>
        <w:rPr>
          <w:b/>
        </w:rPr>
        <w:t xml:space="preserve">SHOW: </w:t>
      </w:r>
      <w:r>
        <w:t>Source page 2, Valuation Metrics tab. Point to trailing and forward P/E. Scroll to the lower section on page 3 showing EV/EBITDA, beta, and Forward P/E versus Market Cap.</w:t>
      </w:r>
    </w:p>
    <w:p>
      <w:pPr>
        <w:keepNext/>
        <w:widowControl/>
        <w:spacing w:after="60"/>
      </w:pPr>
      <w:r>
        <w:rPr>
          <w:b/>
        </w:rPr>
        <w:t xml:space="preserve">SAY: </w:t>
      </w:r>
      <w:r/>
    </w:p>
    <w:p>
      <w:pPr>
        <w:widowControl/>
      </w:pPr>
      <w:r>
        <w:t>We use the valuation page to compare several lenses on the same companies. Trailing P/E and forward P/E use different earnings bases. EV/EBITDA compares enterprise value with the selected EBITDA measure. Beta is a measure relative to a benchmark and an estimation window, so it needs that context before we interpret it as risk.</w:t>
      </w:r>
    </w:p>
    <w:p>
      <w:pPr>
        <w:widowControl/>
      </w:pPr>
      <w:r>
        <w:t>Tesla is visually distinctive in the P/E comparison in this captured dataset. That gives us a useful follow-up question for Genie. At this stage, we are identifying an outlier to investigate. The ratio alone does not explain the business assumptions behind it.</w:t>
      </w:r>
    </w:p>
    <w:p>
      <w:pPr>
        <w:widowControl/>
      </w:pPr>
      <w:r>
        <w:t>We also need to distinguish a historical series from a snapshot. Several valuation lines are flat across the displayed timeline. Before calling this a history of valuation changes, we need to confirm whether the source actually contains changing historical ratios or whether a current snapshot was joined onto daily prices.</w:t>
      </w:r>
    </w:p>
    <w:p>
      <w:pPr>
        <w:keepNext/>
        <w:widowControl/>
        <w:spacing w:after="60"/>
      </w:pPr>
      <w:r>
        <w:rPr>
          <w:b/>
        </w:rPr>
        <w:t xml:space="preserve">TECHNICAL BRANCH: </w:t>
      </w:r>
      <w:r/>
    </w:p>
    <w:p>
      <w:pPr>
        <w:widowControl/>
      </w:pPr>
      <w:r>
        <w:t>A robust implementation preserves separate effective dates for prices, earnings estimates, enterprise value, and published financial statements. Joining the latest estimate to every historical date can introduce look-ahead bias. The correct join for historical analysis is an as-of join using information available at that time, with suitable publication and availability timestamps.</w:t>
      </w:r>
    </w:p>
    <w:p>
      <w:pPr>
        <w:widowControl/>
      </w:pPr>
      <w:r>
        <w:rPr>
          <w:b/>
        </w:rPr>
        <w:t xml:space="preserve">PRESENTER NOTE: </w:t>
      </w:r>
      <w:r>
        <w:t>The standalone P/E chart appears stacked. Trailing and forward P/E are alternative measures and their sum has no useful interpretation here. Explain each series separately. A grouped-bar design would communicate the comparison more accurately. Do not claim that a tall stacked bar is the company's combined P/E.</w:t>
      </w:r>
    </w:p>
    <w:p>
      <w:pPr>
        <w:widowControl/>
      </w:pPr>
      <w:r>
        <w:rPr>
          <w:b/>
        </w:rPr>
        <w:t xml:space="preserve">TRANSITION: </w:t>
      </w:r>
      <w:r>
        <w:t>The numerical measures tell us what to investigate. The research library shows the document coverage available to support that investigation.</w:t>
      </w:r>
    </w:p>
    <w:p>
      <w:pPr>
        <w:pStyle w:val="Heading1"/>
      </w:pPr>
      <w:r>
        <w:t>Scene 4 Research library and evidence availability</w:t>
      </w:r>
    </w:p>
    <w:p>
      <w:pPr>
        <w:widowControl/>
      </w:pPr>
      <w:r>
        <w:rPr>
          <w:b/>
        </w:rPr>
        <w:t xml:space="preserve">SHOW: </w:t>
      </w:r>
      <w:r>
        <w:t>Source page 4. Research Library tab. Point to the total of 634, the document-source chart, and the earnings-release detail table. Keep the dashboard metadata side panel visible only if discussing publishing configuration.</w:t>
      </w:r>
    </w:p>
    <w:p>
      <w:pPr>
        <w:keepNext/>
        <w:widowControl/>
        <w:spacing w:after="60"/>
      </w:pPr>
      <w:r>
        <w:rPr>
          <w:b/>
        </w:rPr>
        <w:t xml:space="preserve">SAY: </w:t>
      </w:r>
      <w:r/>
    </w:p>
    <w:p>
      <w:pPr>
        <w:widowControl/>
      </w:pPr>
      <w:r>
        <w:t>The research library gives us an inventory of the material available to the solution. We can see the total displayed count, the distribution by document source, and individual document records. This lets an analyst assess coverage before asking a question about a company's disclosures.</w:t>
      </w:r>
    </w:p>
    <w:p>
      <w:pPr>
        <w:widowControl/>
      </w:pPr>
      <w:r>
        <w:t>The inventory is also operationally useful. If a company's latest earnings release is missing, a weak answer may come from incomplete source coverage rather than from the language model. We need to distinguish a document that has been discovered from one that has been downloaded, parsed, indexed, and made available to the answering workflow.</w:t>
      </w:r>
    </w:p>
    <w:p>
      <w:pPr>
        <w:keepNext/>
        <w:widowControl/>
        <w:spacing w:after="60"/>
      </w:pPr>
      <w:r>
        <w:rPr>
          <w:b/>
        </w:rPr>
        <w:t xml:space="preserve">TECHNICAL BRANCH: </w:t>
      </w:r>
      <w:r/>
    </w:p>
    <w:p>
      <w:pPr>
        <w:widowControl/>
      </w:pPr>
      <w:r>
        <w:t>For this solution, a recommended document manifest includes a stable document ID, company ID, source URL, filing or document type, reporting period, publication timestamp, retrieval timestamp, content hash, storage path, parse status, and retrieval-index status. Count distinct document IDs at a declared processing stage. Chunks, files, metadata rows, and unique documents must not share the same Total Documents label.</w:t>
      </w:r>
    </w:p>
    <w:p>
      <w:pPr>
        <w:widowControl/>
      </w:pPr>
      <w:r>
        <w:t>A PDF stored in a governed volume is available as a file. That alone does not prove that its contents have been indexed or that an answer can cite the correct passage. The retrieval path needs a separate test that opens the cited source and checks the claim against it.</w:t>
      </w:r>
    </w:p>
    <w:p>
      <w:pPr>
        <w:widowControl/>
      </w:pPr>
      <w:r>
        <w:rPr>
          <w:b/>
        </w:rPr>
        <w:t xml:space="preserve">PRESENTER NOTE: </w:t>
      </w:r>
      <w:r>
        <w:t>The source metadata panel on page 4 says no tables were found. Treat that as what this panel reports, not proof that the whole dashboard has no data source. A source lineage claim requires inspecting the datasets. The count discrepancy with Genie should remain a preparation item until the SQL and filters have been reconciled.</w:t>
      </w:r>
    </w:p>
    <w:p>
      <w:pPr>
        <w:widowControl/>
      </w:pPr>
      <w:r>
        <w:rPr>
          <w:b/>
        </w:rPr>
        <w:t xml:space="preserve">TRANSITION: </w:t>
      </w:r>
      <w:r>
        <w:t>We also exposed the agent's own activity so we can evaluate the experience as an operating service.</w:t>
      </w:r>
    </w:p>
    <w:p>
      <w:pPr>
        <w:pStyle w:val="Heading1"/>
      </w:pPr>
      <w:r>
        <w:t>Scene 5 Agent operations and measurable behavior</w:t>
      </w:r>
    </w:p>
    <w:p>
      <w:pPr>
        <w:widowControl/>
      </w:pPr>
      <w:r>
        <w:rPr>
          <w:b/>
        </w:rPr>
        <w:t xml:space="preserve">SHOW: </w:t>
      </w:r>
      <w:r>
        <w:t>Source page 5, Agent Operations tab. Point to 83 requests, the timeline, status-code chart, and request log. Scroll to source page 6 for mean and P95 duration and requester breakdown.</w:t>
      </w:r>
    </w:p>
    <w:p>
      <w:pPr>
        <w:keepNext/>
        <w:widowControl/>
        <w:spacing w:after="60"/>
      </w:pPr>
      <w:r>
        <w:rPr>
          <w:b/>
        </w:rPr>
        <w:t xml:space="preserve">SAY: </w:t>
      </w:r>
      <w:r/>
    </w:p>
    <w:p>
      <w:pPr>
        <w:widowControl/>
      </w:pPr>
      <w:r>
        <w:t>This page gives us a view of the service behind the analytical experience. The captured run history contains 83 requests. We can inspect activity over time, response status codes, the endpoint involved, and individual execution durations. The request log includes an endpoint named era-supervisor.</w:t>
      </w:r>
    </w:p>
    <w:p>
      <w:pPr>
        <w:widowControl/>
      </w:pPr>
      <w:r>
        <w:t>The duration cards are in milliseconds. Approximately 58.31 thousand milliseconds is 58 seconds, and approximately 130.47 thousand milliseconds is 130 seconds at P95. Those values describe the captured population. They do not establish a future service-level objective or the latency of every question we are about to ask.</w:t>
      </w:r>
    </w:p>
    <w:p>
      <w:pPr>
        <w:widowControl/>
      </w:pPr>
      <w:r>
        <w:t>The next operational question is where the time goes. A structured SQL question, a document retrieval task, and a request that calls an external research service have different paths. We should measure them separately before choosing an optimization.</w:t>
      </w:r>
    </w:p>
    <w:p>
      <w:pPr>
        <w:keepNext/>
        <w:widowControl/>
        <w:spacing w:after="60"/>
      </w:pPr>
      <w:r>
        <w:rPr>
          <w:b/>
        </w:rPr>
        <w:t xml:space="preserve">TECHNICAL BRANCH: </w:t>
      </w:r>
      <w:r/>
    </w:p>
    <w:p>
      <w:pPr>
        <w:widowControl/>
      </w:pPr>
      <w:r>
        <w:t>For this application, the recommended trace joins a conversation ID and request ID to agent calls, warehouse execution, document retrieval, external-tool activity, retries, and final response generation. MLflow tracing provides a way to inspect model and tool spans; application request logs remain useful for user-visible duration and failure behavior. These are complementary measurements. [W5]</w:t>
      </w:r>
    </w:p>
    <w:p>
      <w:pPr>
        <w:widowControl/>
      </w:pPr>
      <w:r>
        <w:t>An HTTP 200 response confirms transport-level success, not that the answer is correct, complete, or supported. Quality evaluation needs its own measurements. Similarly, a requester that looks like a service principal helps identify a runtime identity but does not prove the complete permission model.</w:t>
      </w:r>
    </w:p>
    <w:p>
      <w:pPr>
        <w:widowControl/>
      </w:pPr>
      <w:r>
        <w:rPr>
          <w:b/>
        </w:rPr>
        <w:t xml:space="preserve">PRESENTER NOTE: </w:t>
      </w:r>
      <w:r>
        <w:t>With only 83 recorded requests, avoid presenting the percentile as a stable production tail-latency estimate. Confirm the request types, date window, and percentile calculation. Do not compare the App's displayed Thought for duration directly with backend execution duration without checking the measurement boundaries.</w:t>
      </w:r>
    </w:p>
    <w:p>
      <w:pPr>
        <w:widowControl/>
      </w:pPr>
      <w:r>
        <w:rPr>
          <w:b/>
        </w:rPr>
        <w:t xml:space="preserve">TRANSITION: </w:t>
      </w:r>
      <w:r>
        <w:t>The dashboard has given us the overview. We will now use the Genie Agent to ask the follow-up questions that a fixed dashboard cannot anticipate.</w:t>
      </w:r>
    </w:p>
    <w:p>
      <w:pPr>
        <w:pStyle w:val="Heading1"/>
      </w:pPr>
      <w:r>
        <w:t>Scene 6 Genie Agent scope and analyst context</w:t>
      </w:r>
    </w:p>
    <w:p>
      <w:pPr>
        <w:widowControl/>
      </w:pPr>
      <w:r>
        <w:rPr>
          <w:b/>
        </w:rPr>
        <w:t xml:space="preserve">SHOW: </w:t>
      </w:r>
      <w:r>
        <w:t>Source page 7. Switch to the Genie Agent tab. Point to the About panel, the MAG7 scope, the available-data description, and the Common questions list. Briefly indicate Sources, Instructions, Examples, Monitor, and Benchmark if visible. Do not claim their contents were inspected.</w:t>
      </w:r>
    </w:p>
    <w:p>
      <w:pPr>
        <w:keepNext/>
        <w:widowControl/>
        <w:spacing w:after="60"/>
      </w:pPr>
      <w:r>
        <w:rPr>
          <w:b/>
        </w:rPr>
        <w:t xml:space="preserve">SAY: </w:t>
      </w:r>
      <w:r/>
    </w:p>
    <w:p>
      <w:pPr>
        <w:widowControl/>
      </w:pPr>
      <w:r>
        <w:t>We have moved into the Genie Agent. Its description scopes the analysis to the Magnificent Seven and describes the available market data and financial-document metadata. The starter questions show the kinds of analysis this domain supports.</w:t>
      </w:r>
    </w:p>
    <w:p>
      <w:pPr>
        <w:widowControl/>
      </w:pPr>
      <w:r>
        <w:t>The important implementation work is the context behind the conversation. An analytical agent needs precise column meanings, valid joins, defined business metrics, and examples of how to answer representative questions. Otherwise, a fluent answer can still use the wrong denominator or time period.</w:t>
      </w:r>
    </w:p>
    <w:p>
      <w:pPr>
        <w:widowControl/>
      </w:pPr>
      <w:r>
        <w:t>The supplied Databricks curation guidance recommends a focused set of well-documented tables or views, verified SQL examples, and concise instructions. We use that as the standard for explaining and validating this solution. The visible description and starter questions demonstrate domain scoping; the detailed curation configuration should be inspected separately. [S2, W1]</w:t>
      </w:r>
    </w:p>
    <w:p>
      <w:pPr>
        <w:keepNext/>
        <w:widowControl/>
        <w:spacing w:after="60"/>
      </w:pPr>
      <w:r>
        <w:rPr>
          <w:b/>
        </w:rPr>
        <w:t xml:space="preserve">TECHNICAL BRANCH: </w:t>
      </w:r>
      <w:r/>
    </w:p>
    <w:p>
      <w:pPr>
        <w:widowControl/>
      </w:pPr>
      <w:r>
        <w:t>Useful MAG7 metadata would define symbol aliases, trading-date conventions, currency, adjusted versus unadjusted prices, the grain of each record, and whether ratios are snapshots. Good clarification instructions would ask for a period when the requested comparison is ambiguous. Define arithmetic in SQL or reusable metric expressions where possible. Use natural-language instructions for behaviors such as disclosing missing evidence and asking focused follow-up questions.</w:t>
      </w:r>
    </w:p>
    <w:p>
      <w:pPr>
        <w:widowControl/>
      </w:pPr>
      <w:r>
        <w:rPr>
          <w:b/>
        </w:rPr>
        <w:t xml:space="preserve">PRESENTER NOTE: </w:t>
      </w:r>
      <w:r>
        <w:t>The prompt list is a useful starting point for a test suite. Its presence does not prove benchmarks have been run or that the results passed.</w:t>
      </w:r>
    </w:p>
    <w:p>
      <w:pPr>
        <w:widowControl/>
      </w:pPr>
      <w:r>
        <w:rPr>
          <w:b/>
        </w:rPr>
        <w:t xml:space="preserve">TRANSITION: </w:t>
      </w:r>
      <w:r>
        <w:t>We will begin with an apparently simple question that exposes why those definitions matter.</w:t>
      </w:r>
    </w:p>
    <w:p>
      <w:pPr>
        <w:pStyle w:val="Heading1"/>
      </w:pPr>
      <w:r>
        <w:t>Scene 7 Price spread and the meaning of the question</w:t>
      </w:r>
    </w:p>
    <w:p>
      <w:pPr>
        <w:widowControl/>
      </w:pPr>
      <w:r>
        <w:rPr>
          <w:b/>
        </w:rPr>
        <w:t xml:space="preserve">SHOW: </w:t>
      </w:r>
      <w:r>
        <w:t>Source page 7. Display the saved prompt about the average price spread, high minus low using open versus close. Point to the bar chart and the reported TSLA and META values. Open Show code in a live session if available, without claiming a specific unseen query.</w:t>
      </w:r>
    </w:p>
    <w:p>
      <w:pPr>
        <w:keepNext/>
        <w:widowControl/>
        <w:spacing w:after="60"/>
      </w:pPr>
      <w:r>
        <w:rPr>
          <w:b/>
        </w:rPr>
        <w:t xml:space="preserve">SAY: </w:t>
      </w:r>
      <w:r/>
    </w:p>
    <w:p>
      <w:pPr>
        <w:widowControl/>
      </w:pPr>
      <w:r>
        <w:t>The agent reports the average spread for each company and highlights Tesla at approximately 8.61 dollars and Meta at approximately 8.46 dollars in this dataset. We can inspect the answer as both a chart and a numerical comparison.</w:t>
      </w:r>
    </w:p>
    <w:p>
      <w:pPr>
        <w:widowControl/>
      </w:pPr>
      <w:r>
        <w:t>The wording needs care. A market high-minus-low range is different from the absolute difference between opening and closing prices. The answer shown here labels the result as an open-versus-close spread. Before interpreting the ranking, we should inspect the SQL and confirm the calculation.</w:t>
      </w:r>
    </w:p>
    <w:p>
      <w:pPr>
        <w:widowControl/>
      </w:pPr>
      <w:r>
        <w:t>For a reproducible question, we would ask for the average absolute difference between daily close and daily open over a specified period. If we want the intraday range, we would explicitly request daily high minus daily low and confirm that those fields exist.</w:t>
      </w:r>
    </w:p>
    <w:p>
      <w:pPr>
        <w:keepNext/>
        <w:widowControl/>
        <w:spacing w:after="60"/>
      </w:pPr>
      <w:r>
        <w:rPr>
          <w:b/>
        </w:rPr>
        <w:t xml:space="preserve">TECHNICAL BRANCH: </w:t>
      </w:r>
      <w:r/>
    </w:p>
    <w:p>
      <w:pPr>
        <w:widowControl/>
      </w:pPr>
      <w:r>
        <w:t>The proposed test is to compare the generated result with a deterministic query computing AVG(ABS(price_close - price_open)) by symbol, after excluding rows missing either price. That is a different metric from AVG(price_close - price_open), where positive and negative moves cancel. It is also different from AVG(price_high - price_low).</w:t>
      </w:r>
    </w:p>
    <w:p>
      <w:pPr>
        <w:widowControl/>
      </w:pPr>
      <w:r>
        <w:rPr>
          <w:b/>
        </w:rPr>
        <w:t xml:space="preserve">PRESENTER NOTE: </w:t>
      </w:r>
      <w:r>
        <w:t>These are candidate definitions for validation, not a transcription of the SQL behind page 7. Do not call dollar spread a comparable risk measure across companies without considering price scale. A normalized spread would answer a different, explicit question.</w:t>
      </w:r>
    </w:p>
    <w:p>
      <w:pPr>
        <w:widowControl/>
      </w:pPr>
      <w:r>
        <w:rPr>
          <w:b/>
        </w:rPr>
        <w:t xml:space="preserve">TRANSITION: </w:t>
      </w:r>
      <w:r>
        <w:t>Next, we will compare measures with different units and show how the agent presents that relationship.</w:t>
      </w:r>
    </w:p>
    <w:p>
      <w:pPr>
        <w:pStyle w:val="Heading1"/>
      </w:pPr>
      <w:r>
        <w:t>Scene 8 Market capitalization versus EV EBITDA</w:t>
      </w:r>
    </w:p>
    <w:p>
      <w:pPr>
        <w:widowControl/>
      </w:pPr>
      <w:r>
        <w:rPr>
          <w:b/>
        </w:rPr>
        <w:t xml:space="preserve">SHOW: </w:t>
      </w:r>
      <w:r>
        <w:t>Source pages 8–9. Display Compare the market cap to EV/EBITDA ratio across companies. Show the scatterplot first, then the company ratio bars and supporting text.</w:t>
      </w:r>
    </w:p>
    <w:p>
      <w:pPr>
        <w:keepNext/>
        <w:widowControl/>
        <w:spacing w:after="60"/>
      </w:pPr>
      <w:r>
        <w:rPr>
          <w:b/>
        </w:rPr>
        <w:t xml:space="preserve">SAY: </w:t>
      </w:r>
      <w:r/>
    </w:p>
    <w:p>
      <w:pPr>
        <w:widowControl/>
      </w:pPr>
      <w:r>
        <w:t>The scatterplot places company size and valuation multiple on different axes. This helps us see that a larger market capitalization does not necessarily correspond to a higher EV/EBITDA multiple. Tesla is the visual outlier in the captured result.</w:t>
      </w:r>
    </w:p>
    <w:p>
      <w:pPr>
        <w:widowControl/>
      </w:pPr>
      <w:r>
        <w:t>The answer reports a correlation in this seven-company dataset. We should interpret that as a description of this small cross-section. It is sensitive to outliers and does not establish a general rule about the market or a causal relationship.</w:t>
      </w:r>
    </w:p>
    <w:p>
      <w:pPr>
        <w:widowControl/>
      </w:pPr>
      <w:r>
        <w:t>Moving down to the ratio comparison makes the individual values easier to inspect. This is a useful interaction pattern: start with a relationship, then review the underlying company-level values.</w:t>
      </w:r>
    </w:p>
    <w:p>
      <w:pPr>
        <w:keepNext/>
        <w:widowControl/>
        <w:spacing w:after="60"/>
      </w:pPr>
      <w:r>
        <w:rPr>
          <w:b/>
        </w:rPr>
        <w:t xml:space="preserve">TECHNICAL BRANCH: </w:t>
      </w:r>
      <w:r/>
    </w:p>
    <w:p>
      <w:pPr>
        <w:widowControl/>
      </w:pPr>
      <w:r>
        <w:t>The query needs one matched observation per company and an explicit date policy. A common-date comparison and a latest-available-per-company comparison can produce different results. If EBITDA is zero or negative, a conventional positive-multiple ranking may be inappropriate; the data contract should represent that limitation. Do not coerce invalid ratios to zero, because that makes unavailable or economically different cases look artificially cheap.</w:t>
      </w:r>
    </w:p>
    <w:p>
      <w:pPr>
        <w:widowControl/>
      </w:pPr>
      <w:r>
        <w:rPr>
          <w:b/>
        </w:rPr>
        <w:t xml:space="preserve">PRESENTER NOTE: </w:t>
      </w:r>
      <w:r>
        <w:t>The screenshot narrative includes interpretations such as reasonable multiples. Present those as generated interpretations requiring further evidence, not as verified investment conclusions. The demo's purpose is analytical inspection.</w:t>
      </w:r>
    </w:p>
    <w:p>
      <w:pPr>
        <w:widowControl/>
      </w:pPr>
      <w:r>
        <w:rPr>
          <w:b/>
        </w:rPr>
        <w:t xml:space="preserve">TRANSITION: </w:t>
      </w:r>
      <w:r>
        <w:t>We will now make the ranking question more precise by separating dollar appreciation from percentage performance.</w:t>
      </w:r>
    </w:p>
    <w:p>
      <w:pPr>
        <w:pStyle w:val="Heading1"/>
      </w:pPr>
      <w:r>
        <w:t>Scene 9 Absolute appreciation and percentage return</w:t>
      </w:r>
    </w:p>
    <w:p>
      <w:pPr>
        <w:widowControl/>
      </w:pPr>
      <w:r>
        <w:rPr>
          <w:b/>
        </w:rPr>
        <w:t xml:space="preserve">SHOW: </w:t>
      </w:r>
      <w:r>
        <w:t>Source pages 10–11. Display Which stock has appreciated the most in absolute dollar terms. Point to the GOOGL bar, the comparison table, and the explanatory distinction between absolute and percentage gains.</w:t>
      </w:r>
    </w:p>
    <w:p>
      <w:pPr>
        <w:keepNext/>
        <w:widowControl/>
        <w:spacing w:after="60"/>
      </w:pPr>
      <w:r>
        <w:rPr>
          <w:b/>
        </w:rPr>
        <w:t xml:space="preserve">SAY: </w:t>
      </w:r>
      <w:r/>
    </w:p>
    <w:p>
      <w:pPr>
        <w:widowControl/>
      </w:pPr>
      <w:r>
        <w:t>This question explicitly asks for absolute dollars per share. The captured answer identifies Alphabet at approximately 148.07 dollars of appreciation over the displayed period. That is the difference between the chosen ending and starting closing prices.</w:t>
      </w:r>
    </w:p>
    <w:p>
      <w:pPr>
        <w:widowControl/>
      </w:pPr>
      <w:r>
        <w:t>A ranking by dollars per share can differ from a ranking by percentage return. The first answers how many dollars one share gained. The second answers how much the starting investment grew relative to its initial value. Neither should be substituted silently for the other.</w:t>
      </w:r>
    </w:p>
    <w:p>
      <w:pPr>
        <w:widowControl/>
      </w:pPr>
      <w:r>
        <w:t>This is why we want the response to state the dates, show the starting and ending observations, and disclose the metric. Once those pieces are visible, an analyst can decide whether the calculation matches the question.</w:t>
      </w:r>
    </w:p>
    <w:p>
      <w:pPr>
        <w:keepNext/>
        <w:widowControl/>
        <w:spacing w:after="60"/>
      </w:pPr>
      <w:r>
        <w:rPr>
          <w:b/>
        </w:rPr>
        <w:t xml:space="preserve">TECHNICAL BRANCH: </w:t>
      </w:r>
      <w:r/>
    </w:p>
    <w:p>
      <w:pPr>
        <w:widowControl/>
      </w:pPr>
      <w:r>
        <w:t>For a fair comparison, choose a common interval and define how to handle a missing observation at a boundary. A query that takes each company's own first and last available dates can compare unequal holding periods. Tie handling also matters if two companies have the same appreciation. Corporate actions require a consistent adjusted-price policy. Raw price appreciation does not establish total return including distributions.</w:t>
      </w:r>
    </w:p>
    <w:p>
      <w:pPr>
        <w:widowControl/>
      </w:pPr>
      <w:r>
        <w:rPr>
          <w:b/>
        </w:rPr>
        <w:t xml:space="preserve">PRESENTER NOTE: </w:t>
      </w:r>
      <w:r>
        <w:t>The dates and amounts are demonstration outputs, not independently verified market history. The App later displays a SQL implementation of a related ranking on page 33, which creates a useful technical callback.</w:t>
      </w:r>
    </w:p>
    <w:p>
      <w:pPr>
        <w:widowControl/>
      </w:pPr>
      <w:r>
        <w:rPr>
          <w:b/>
        </w:rPr>
        <w:t xml:space="preserve">TRANSITION: </w:t>
      </w:r>
      <w:r>
        <w:t>We will take the leading company from this answer and examine the path behind the result.</w:t>
      </w:r>
    </w:p>
    <w:p>
      <w:pPr>
        <w:pStyle w:val="Heading1"/>
      </w:pPr>
      <w:r>
        <w:t>Scene 10 Monthly trend and explainable aggregation</w:t>
      </w:r>
    </w:p>
    <w:p>
      <w:pPr>
        <w:widowControl/>
      </w:pPr>
      <w:r>
        <w:rPr>
          <w:b/>
        </w:rPr>
        <w:t xml:space="preserve">SHOW: </w:t>
      </w:r>
      <w:r>
        <w:t>Source pages 11–14. Ask or display Show the monthly average closing price trend for GOOGL. Pause on the line chart on page 12 and the month-over-month bars on page 13. Use page 14 only to complete the summary before the next question.</w:t>
      </w:r>
    </w:p>
    <w:p>
      <w:pPr>
        <w:keepNext/>
        <w:widowControl/>
        <w:spacing w:after="60"/>
      </w:pPr>
      <w:r>
        <w:rPr>
          <w:b/>
        </w:rPr>
        <w:t xml:space="preserve">SAY: </w:t>
      </w:r>
      <w:r/>
    </w:p>
    <w:p>
      <w:pPr>
        <w:widowControl/>
      </w:pPr>
      <w:r>
        <w:t>The result shows a decline into the spring portion of the dataset followed by a recovery. The line represents monthly average closing prices. It is not the closing price on the final trading day of each month.</w:t>
      </w:r>
    </w:p>
    <w:p>
      <w:pPr>
        <w:widowControl/>
      </w:pPr>
      <w:r>
        <w:t>That distinction explains why two reasonable charts can show different monthly values. We need to know whether we are averaging daily observations, selecting month-end prices, or calculating a return between month boundaries. Here the question asks for monthly averages, and the App later exposes SQL that performs that aggregation explicitly.</w:t>
      </w:r>
    </w:p>
    <w:p>
      <w:pPr>
        <w:widowControl/>
      </w:pPr>
      <w:r>
        <w:t>The month-over-month chart adds another calculation. It should compare consecutive monthly averages using the previous month's average as the denominator. Partial months need a visible label because an incomplete month's average may not be comparable to a full month's result.</w:t>
      </w:r>
    </w:p>
    <w:p>
      <w:pPr>
        <w:keepNext/>
        <w:widowControl/>
        <w:spacing w:after="60"/>
      </w:pPr>
      <w:r>
        <w:rPr>
          <w:b/>
        </w:rPr>
        <w:t xml:space="preserve">TECHNICAL BRANCH: </w:t>
      </w:r>
      <w:r/>
    </w:p>
    <w:p>
      <w:pPr>
        <w:widowControl/>
      </w:pPr>
      <w:r>
        <w:t>The logical steps are: filter the company, reject missing dates or closes, group observations by month, average closing price, and sort chronologically. The optional change series uses the previous monthly aggregate, usually with a window function. A missing month should remain missing or be deliberately handled; it should not automatically become a zero price.</w:t>
      </w:r>
    </w:p>
    <w:p>
      <w:pPr>
        <w:widowControl/>
      </w:pPr>
      <w:r>
        <w:rPr>
          <w:b/>
        </w:rPr>
        <w:t xml:space="preserve">PRESENTER NOTE: </w:t>
      </w:r>
      <w:r>
        <w:t>Avoid assigning a business cause to the spring decline or later recovery unless supporting documents or external evidence are actually retrieved. The time series demonstrates what happened within the dataset, not why.</w:t>
      </w:r>
    </w:p>
    <w:p>
      <w:pPr>
        <w:widowControl/>
      </w:pPr>
      <w:r>
        <w:rPr>
          <w:b/>
        </w:rPr>
        <w:t xml:space="preserve">TRANSITION: </w:t>
      </w:r>
      <w:r>
        <w:t>Before asking questions about the companies' disclosures, we will check what document coverage the agent can see.</w:t>
      </w:r>
    </w:p>
    <w:p>
      <w:pPr>
        <w:pStyle w:val="Heading1"/>
      </w:pPr>
      <w:r>
        <w:t>Scene 11 Filing types and document coverage</w:t>
      </w:r>
    </w:p>
    <w:p>
      <w:pPr>
        <w:widowControl/>
      </w:pPr>
      <w:r>
        <w:rPr>
          <w:b/>
        </w:rPr>
        <w:t xml:space="preserve">SHOW: </w:t>
      </w:r>
      <w:r>
        <w:t>Source pages 14–17. Display What types of financial filings are available in the document library. Scroll through the document-type chart and the category descriptions.</w:t>
      </w:r>
    </w:p>
    <w:p>
      <w:pPr>
        <w:keepNext/>
        <w:widowControl/>
        <w:spacing w:after="60"/>
      </w:pPr>
      <w:r>
        <w:rPr>
          <w:b/>
        </w:rPr>
        <w:t xml:space="preserve">SAY: </w:t>
      </w:r>
      <w:r/>
    </w:p>
    <w:p>
      <w:pPr>
        <w:widowControl/>
      </w:pPr>
      <w:r>
        <w:t>The Genie Agent can analyze the document inventory as structured metadata. The captured response breaks the library into quarterly filings, annual filings, earnings releases, earnings-call transcripts, and annual reports. This helps us decide which sources are available for a particular research question.</w:t>
      </w:r>
    </w:p>
    <w:p>
      <w:pPr>
        <w:widowControl/>
      </w:pPr>
      <w:r>
        <w:t>An annual report and an earnings-call transcript serve different purposes. The first can provide a broader retrospective view. The second can provide management commentary and questions from analysts. Availability by type is therefore a meaningful part of research coverage.</w:t>
      </w:r>
    </w:p>
    <w:p>
      <w:pPr>
        <w:widowControl/>
      </w:pPr>
      <w:r>
        <w:t>This particular response displays 303 documents, while the dashboard displayed 634. We have not reconciled those scopes in the available evidence. We should verify the underlying source, filters, and counting rule before presenting a single authoritative corpus total.</w:t>
      </w:r>
    </w:p>
    <w:p>
      <w:pPr>
        <w:keepNext/>
        <w:widowControl/>
        <w:spacing w:after="60"/>
      </w:pPr>
      <w:r>
        <w:rPr>
          <w:b/>
        </w:rPr>
        <w:t xml:space="preserve">TECHNICAL BRANCH: </w:t>
      </w:r>
      <w:r/>
    </w:p>
    <w:p>
      <w:pPr>
        <w:widowControl/>
      </w:pPr>
      <w:r>
        <w:t>One useful design is a canonical document manifest and explicit views for discovered documents, successfully parsed documents, and documents available for retrieval. A count grouped by document type should use the same unique key as the headline card. File extension alone is not a reliable filing classification. Amendments, duplicate downloads, and document versions need an explicit policy.</w:t>
      </w:r>
    </w:p>
    <w:p>
      <w:pPr>
        <w:widowControl/>
      </w:pPr>
      <w:r>
        <w:rPr>
          <w:b/>
        </w:rPr>
        <w:t xml:space="preserve">PRESENTER NOTE: </w:t>
      </w:r>
      <w:r>
        <w:t>Page 17 includes generated text stating that documents are stored in a Unity Catalog volume and indexed for RAG. Treat that as an assertion in an agent answer. No volume configuration or retrieval-index inspection is shown. Do not use an agent's own statement as independent proof of the deployed architecture.</w:t>
      </w:r>
    </w:p>
    <w:p>
      <w:pPr>
        <w:widowControl/>
      </w:pPr>
      <w:r>
        <w:rPr>
          <w:b/>
        </w:rPr>
        <w:t xml:space="preserve">TRANSITION: </w:t>
      </w:r>
      <w:r>
        <w:t>We can also inspect whether the coverage is balanced across the seven companies.</w:t>
      </w:r>
    </w:p>
    <w:p>
      <w:pPr>
        <w:pStyle w:val="Heading1"/>
      </w:pPr>
      <w:r>
        <w:t>Scene 12 Coverage by company and reconciliation</w:t>
      </w:r>
    </w:p>
    <w:p>
      <w:pPr>
        <w:widowControl/>
      </w:pPr>
      <w:r>
        <w:rPr>
          <w:b/>
        </w:rPr>
        <w:t xml:space="preserve">SHOW: </w:t>
      </w:r>
      <w:r>
        <w:t>Source pages 17–20. Display How many financial documents are available per company. Pause on the ranking on page 18, the company-by-type breakdown on page 19, and the coverage notes on page 20.</w:t>
      </w:r>
    </w:p>
    <w:p>
      <w:pPr>
        <w:keepNext/>
        <w:widowControl/>
        <w:spacing w:after="60"/>
      </w:pPr>
      <w:r>
        <w:rPr>
          <w:b/>
        </w:rPr>
        <w:t xml:space="preserve">SAY: </w:t>
      </w:r>
      <w:r/>
    </w:p>
    <w:p>
      <w:pPr>
        <w:widowControl/>
      </w:pPr>
      <w:r>
        <w:t>The company breakdown lets us see where the available document metadata is concentrated. Apple leads the count in the displayed response. The stacked view then shows how each company's total is composed of different document types.</w:t>
      </w:r>
    </w:p>
    <w:p>
      <w:pPr>
        <w:widowControl/>
      </w:pPr>
      <w:r>
        <w:t>The business value is that we can identify coverage gaps before relying on an answer. A company with no transcript in the selected inventory should not receive a transcript-based explanation unless another authorized source actually supplies it.</w:t>
      </w:r>
    </w:p>
    <w:p>
      <w:pPr>
        <w:widowControl/>
      </w:pPr>
      <w:r>
        <w:t>This response reports 292 documents. That is another scope we need to reconcile with the earlier 303 and the dashboard's 634. We should not invent an explanation such as deduplication or a different processing stage without inspecting the SQL and source tables.</w:t>
      </w:r>
    </w:p>
    <w:p>
      <w:pPr>
        <w:keepNext/>
        <w:widowControl/>
        <w:spacing w:after="60"/>
      </w:pPr>
      <w:r>
        <w:rPr>
          <w:b/>
        </w:rPr>
        <w:t xml:space="preserve">TECHNICAL BRANCH: </w:t>
      </w:r>
      <w:r/>
    </w:p>
    <w:p>
      <w:pPr>
        <w:widowControl/>
      </w:pPr>
      <w:r>
        <w:t>The reconciliation should compare four things at the same snapshot: the raw manifest total, the distinct canonical-document total, totals by type, and totals by company. A document associated with multiple companies can make summed company counts differ from a distinct corpus count. That is a possible modeling issue to test, not an explanation established by these screenshots. Preserve unassigned-company records in an explicit unknown category if they belong in the total.</w:t>
      </w:r>
    </w:p>
    <w:p>
      <w:pPr>
        <w:widowControl/>
      </w:pPr>
      <w:r>
        <w:rPr>
          <w:b/>
        </w:rPr>
        <w:t xml:space="preserve">TRANSITION: </w:t>
      </w:r>
      <w:r>
        <w:t>We will return to market data and ask a question that ranks individual trading days across all companies.</w:t>
      </w:r>
    </w:p>
    <w:p>
      <w:pPr>
        <w:pStyle w:val="Heading1"/>
      </w:pPr>
      <w:r>
        <w:t>Scene 13 Highest volume trading days</w:t>
      </w:r>
    </w:p>
    <w:p>
      <w:pPr>
        <w:widowControl/>
      </w:pPr>
      <w:r>
        <w:rPr>
          <w:b/>
        </w:rPr>
        <w:t xml:space="preserve">SHOW: </w:t>
      </w:r>
      <w:r>
        <w:t>Source pages 20–21. Display List the top 5 highest-volume trading days across all stocks. Show the full result table on page 21.</w:t>
      </w:r>
    </w:p>
    <w:p>
      <w:pPr>
        <w:keepNext/>
        <w:widowControl/>
        <w:spacing w:after="60"/>
      </w:pPr>
      <w:r>
        <w:rPr>
          <w:b/>
        </w:rPr>
        <w:t xml:space="preserve">SAY: </w:t>
      </w:r>
      <w:r/>
    </w:p>
    <w:p>
      <w:pPr>
        <w:widowControl/>
      </w:pPr>
      <w:r>
        <w:t>This question changes the unit of analysis from a company to a company-day. The captured top-five list consists of NVIDIA observations, with dates and volume values shown alongside price movement.</w:t>
      </w:r>
    </w:p>
    <w:p>
      <w:pPr>
        <w:widowControl/>
      </w:pPr>
      <w:r>
        <w:t>The useful behavior is that the answer preserves the individual observations behind the ranking. We can see the company, date, and volume rather than receiving only a general statement about trading activity.</w:t>
      </w:r>
    </w:p>
    <w:p>
      <w:pPr>
        <w:widowControl/>
      </w:pPr>
      <w:r>
        <w:t>A spike in volume can identify a period worth investigating. To explain its cause, we would need to retrieve an earnings release, filing, or external report from the relevant period. The volume table itself does not establish the cause.</w:t>
      </w:r>
    </w:p>
    <w:p>
      <w:pPr>
        <w:keepNext/>
        <w:widowControl/>
        <w:spacing w:after="60"/>
      </w:pPr>
      <w:r>
        <w:rPr>
          <w:b/>
        </w:rPr>
        <w:t xml:space="preserve">TECHNICAL BRANCH: </w:t>
      </w:r>
      <w:r/>
    </w:p>
    <w:p>
      <w:pPr>
        <w:widowControl/>
      </w:pPr>
      <w:r>
        <w:t>Validate the intended SQL pattern: one row per symbol and trading date, ordered by numeric volume descending, with a deterministic secondary sort for ties. Confirm that the source represents actual reported volume consistently across splits and other adjustments. Duplicated source rows must not turn a top-five observation list into repeated copies of the same event.</w:t>
      </w:r>
    </w:p>
    <w:p>
      <w:pPr>
        <w:widowControl/>
      </w:pPr>
      <w:r>
        <w:rPr>
          <w:b/>
        </w:rPr>
        <w:t xml:space="preserve">TRANSITION: </w:t>
      </w:r>
      <w:r>
        <w:t>Next, we will calculate the proportion of positive trading days and make the denominator explicit.</w:t>
      </w:r>
    </w:p>
    <w:p>
      <w:pPr>
        <w:pStyle w:val="Heading1"/>
      </w:pPr>
      <w:r>
        <w:t>Scene 14 Positive trading days</w:t>
      </w:r>
    </w:p>
    <w:p>
      <w:pPr>
        <w:widowControl/>
      </w:pPr>
      <w:r>
        <w:rPr>
          <w:b/>
        </w:rPr>
        <w:t xml:space="preserve">SHOW: </w:t>
      </w:r>
      <w:r>
        <w:t>Source page 22. Display What percentage of days did TSLA close higher than it opened. Point to 123 days, 250 trading days, and 49.2 percent.</w:t>
      </w:r>
    </w:p>
    <w:p>
      <w:pPr>
        <w:keepNext/>
        <w:widowControl/>
        <w:spacing w:after="60"/>
      </w:pPr>
      <w:r>
        <w:rPr>
          <w:b/>
        </w:rPr>
        <w:t xml:space="preserve">SAY: </w:t>
      </w:r>
      <w:r/>
    </w:p>
    <w:p>
      <w:pPr>
        <w:widowControl/>
      </w:pPr>
      <w:r>
        <w:t>The displayed result reports 123 positive days out of 250 eligible trading days, or 49.2 percent. The breakdown also reports 127 negative days and no unchanged days in this selected dataset.</w:t>
      </w:r>
    </w:p>
    <w:p>
      <w:pPr>
        <w:widowControl/>
      </w:pPr>
      <w:r>
        <w:t>This is a descriptive frequency over the selected sample. It does not tell us the probability that Tesla will rise tomorrow. A stock can have fewer positive days and still gain over a period if the magnitude of its positive moves exceeds the negative moves.</w:t>
      </w:r>
    </w:p>
    <w:p>
      <w:pPr>
        <w:widowControl/>
      </w:pPr>
      <w:r>
        <w:t>The denominator matters. We should count days with both an opening and a closing price. Missing observations should not silently enter the denominator as non-positive days.</w:t>
      </w:r>
    </w:p>
    <w:p>
      <w:pPr>
        <w:keepNext/>
        <w:widowControl/>
        <w:spacing w:after="60"/>
      </w:pPr>
      <w:r>
        <w:rPr>
          <w:b/>
        </w:rPr>
        <w:t xml:space="preserve">TECHNICAL BRANCH: </w:t>
      </w:r>
      <w:r/>
    </w:p>
    <w:p>
      <w:pPr>
        <w:widowControl/>
      </w:pPr>
      <w:r>
        <w:t>The proposed reference calculation is 100 times the count of eligible rows where close exceeds open, divided by the count of all eligible rows for the same symbol and period. Define handling for duplicate dates and unchanged closes. Include the sample size and date range in the returned answer so the statistic remains interpretable.</w:t>
      </w:r>
    </w:p>
    <w:p>
      <w:pPr>
        <w:widowControl/>
      </w:pPr>
      <w:r>
        <w:rPr>
          <w:b/>
        </w:rPr>
        <w:t xml:space="preserve">TRANSITION: </w:t>
      </w:r>
      <w:r>
        <w:t>We will now compare the time-series paths across all seven companies at a coarser weekly resolution.</w:t>
      </w:r>
    </w:p>
    <w:p>
      <w:pPr>
        <w:pStyle w:val="Heading1"/>
      </w:pPr>
      <w:r>
        <w:t>Scene 15 Weekly prices across the universe</w:t>
      </w:r>
    </w:p>
    <w:p>
      <w:pPr>
        <w:widowControl/>
      </w:pPr>
      <w:r>
        <w:rPr>
          <w:b/>
        </w:rPr>
        <w:t xml:space="preserve">SHOW: </w:t>
      </w:r>
      <w:r>
        <w:t>Source pages 22–25. Display Show the weekly average closing prices for all companies. Pause on the chart on page 23, then briefly show the starting and ending summaries on pages 24–25.</w:t>
      </w:r>
    </w:p>
    <w:p>
      <w:pPr>
        <w:keepNext/>
        <w:widowControl/>
        <w:spacing w:after="60"/>
      </w:pPr>
      <w:r>
        <w:rPr>
          <w:b/>
        </w:rPr>
        <w:t xml:space="preserve">SAY: </w:t>
      </w:r>
      <w:r/>
    </w:p>
    <w:p>
      <w:pPr>
        <w:widowControl/>
      </w:pPr>
      <w:r>
        <w:t>The weekly aggregation reduces the visual density of the daily observations. It makes broader movements easier to compare while preserving each company's price series.</w:t>
      </w:r>
    </w:p>
    <w:p>
      <w:pPr>
        <w:widowControl/>
      </w:pPr>
      <w:r>
        <w:t>The captured answer reports 371 weekly data points across the seven companies. We should verify the underlying grouping and period if we need that count for an acceptance test. A point represents one company's average across the available trading days in a particular week.</w:t>
      </w:r>
    </w:p>
    <w:p>
      <w:pPr>
        <w:widowControl/>
      </w:pPr>
      <w:r>
        <w:t>The chart still uses absolute share prices. It is useful for following each company's own history. If our question is which company outperformed over the period, an indexed or return-based chart is the more suitable follow-up.</w:t>
      </w:r>
    </w:p>
    <w:p>
      <w:pPr>
        <w:keepNext/>
        <w:widowControl/>
        <w:spacing w:after="60"/>
      </w:pPr>
      <w:r>
        <w:rPr>
          <w:b/>
        </w:rPr>
        <w:t xml:space="preserve">TECHNICAL BRANCH: </w:t>
      </w:r>
      <w:r/>
    </w:p>
    <w:p>
      <w:pPr>
        <w:widowControl/>
      </w:pPr>
      <w:r>
        <w:t>Define the week boundary consistently and verify how partial weeks are treated. Use trading observations rather than filling weekends with zero values. Apply the same date filter across companies. If one company has missing observations, disclose the coverage instead of assuming identical sample sizes.</w:t>
      </w:r>
    </w:p>
    <w:p>
      <w:pPr>
        <w:widowControl/>
      </w:pPr>
      <w:r>
        <w:rPr>
          <w:b/>
        </w:rPr>
        <w:t xml:space="preserve">PRESENTER NOTE: </w:t>
      </w:r>
      <w:r>
        <w:t>The source shows explanatory paragraphs across several continuation screenshots. Do not read every bullet aloud. Use them to demonstrate that the chart and narrative can be inspected together, then move on.</w:t>
      </w:r>
    </w:p>
    <w:p>
      <w:pPr>
        <w:widowControl/>
      </w:pPr>
      <w:r>
        <w:rPr>
          <w:b/>
        </w:rPr>
        <w:t xml:space="preserve">TRANSITION: </w:t>
      </w:r>
      <w:r>
        <w:t>We can go beyond average activity and compare how variable that activity is.</w:t>
      </w:r>
    </w:p>
    <w:p>
      <w:pPr>
        <w:pStyle w:val="Heading1"/>
      </w:pPr>
      <w:r>
        <w:t>Scene 16 Volume consistency and statistical precision</w:t>
      </w:r>
    </w:p>
    <w:p>
      <w:pPr>
        <w:widowControl/>
      </w:pPr>
      <w:r>
        <w:rPr>
          <w:b/>
        </w:rPr>
        <w:t xml:space="preserve">SHOW: </w:t>
      </w:r>
      <w:r>
        <w:t>Source pages 25–27. Display Which company has the most consistent daily volume lowest variance. Pause on the coefficient-of-variation chart on page 26 and the numerical table on page 27.</w:t>
      </w:r>
    </w:p>
    <w:p>
      <w:pPr>
        <w:keepNext/>
        <w:widowControl/>
        <w:spacing w:after="60"/>
      </w:pPr>
      <w:r>
        <w:rPr>
          <w:b/>
        </w:rPr>
        <w:t xml:space="preserve">SAY: </w:t>
      </w:r>
      <w:r/>
    </w:p>
    <w:p>
      <w:pPr>
        <w:widowControl/>
      </w:pPr>
      <w:r>
        <w:t>The answer identifies Tesla as the most consistent by coefficient of variation, approximately 34.82 percent in this result. That statistic expresses standard deviation relative to average volume.</w:t>
      </w:r>
    </w:p>
    <w:p>
      <w:pPr>
        <w:widowControl/>
      </w:pPr>
      <w:r>
        <w:t>We need to acknowledge a semantic change in the answer. The prompt mentions lowest variance, while the response uses coefficient of variation. Relative variability can be useful when companies trade at different volume scales, but it is not the same statistic as absolute variance.</w:t>
      </w:r>
    </w:p>
    <w:p>
      <w:pPr>
        <w:widowControl/>
      </w:pPr>
      <w:r>
        <w:t>For a precise follow-up, we would ask for both measures, label them separately, and explain which ranking answers the business question. This is a good example of why we inspect generated analysis rather than equating a polished chart with an automatically correct interpretation.</w:t>
      </w:r>
    </w:p>
    <w:p>
      <w:pPr>
        <w:keepNext/>
        <w:widowControl/>
        <w:spacing w:after="60"/>
      </w:pPr>
      <w:r>
        <w:rPr>
          <w:b/>
        </w:rPr>
        <w:t xml:space="preserve">TECHNICAL BRANCH: </w:t>
      </w:r>
      <w:r/>
    </w:p>
    <w:p>
      <w:pPr>
        <w:widowControl/>
      </w:pPr>
      <w:r>
        <w:t>The proposed reference uses sample standard deviation divided by mean volume for coefficient of variation, multiplied by 100 for a percentage. Variance is measured in squared volume units; standard deviation is in volume units. Ensure the implementation consistently chooses sample or population statistics, avoids division by zero, and reports the observation count.</w:t>
      </w:r>
    </w:p>
    <w:p>
      <w:pPr>
        <w:widowControl/>
      </w:pPr>
      <w:r>
        <w:rPr>
          <w:b/>
        </w:rPr>
        <w:t xml:space="preserve">PRESENTER NOTE: </w:t>
      </w:r>
      <w:r>
        <w:t>Add this prompt to the semantic evaluation set with an expected clarification or an explicit dual-statistic answer. A test that only checks whether TSLA appears would miss the underlying interpretation error.</w:t>
      </w:r>
    </w:p>
    <w:p>
      <w:pPr>
        <w:widowControl/>
      </w:pPr>
      <w:r>
        <w:rPr>
          <w:b/>
        </w:rPr>
        <w:t xml:space="preserve">TRANSITION: </w:t>
      </w:r>
      <w:r>
        <w:t>The next question demonstrates how the agent handles a requested metric that the available data does not contain.</w:t>
      </w:r>
    </w:p>
    <w:p>
      <w:pPr>
        <w:pStyle w:val="Heading1"/>
      </w:pPr>
      <w:r>
        <w:t>Scene 17 Missing PEG data and controlled alternatives</w:t>
      </w:r>
    </w:p>
    <w:p>
      <w:pPr>
        <w:widowControl/>
      </w:pPr>
      <w:r>
        <w:rPr>
          <w:b/>
        </w:rPr>
        <w:t xml:space="preserve">SHOW: </w:t>
      </w:r>
      <w:r>
        <w:t>Source pages 28–30. Display Compare the price-to-earnings growth PEG ratios where available. Point first to the statement that PEG data is unavailable, then to the alternative P/E comparison.</w:t>
      </w:r>
    </w:p>
    <w:p>
      <w:pPr>
        <w:keepNext/>
        <w:widowControl/>
        <w:spacing w:after="60"/>
      </w:pPr>
      <w:r>
        <w:rPr>
          <w:b/>
        </w:rPr>
        <w:t xml:space="preserve">SAY: </w:t>
      </w:r>
      <w:r/>
    </w:p>
    <w:p>
      <w:pPr>
        <w:widowControl/>
      </w:pPr>
      <w:r>
        <w:t>The response explicitly says that PEG is unavailable in the dataset. That is a useful boundary to surface. It then offers trailing and forward P/E as related measures that are available.</w:t>
      </w:r>
    </w:p>
    <w:p>
      <w:pPr>
        <w:widowControl/>
      </w:pPr>
      <w:r>
        <w:t>The distinction must remain clear throughout the answer. P/E is not PEG. A valid alternative can help an analyst continue the investigation, but it should not be presented as if it answers the original metric request.</w:t>
      </w:r>
    </w:p>
    <w:p>
      <w:pPr>
        <w:widowControl/>
      </w:pPr>
      <w:r>
        <w:t>To calculate PEG, we would need an appropriate earnings-growth definition and a compatible horizon, along with a clear percentage convention. We should not invent those inputs from the P/E values.</w:t>
      </w:r>
    </w:p>
    <w:p>
      <w:pPr>
        <w:keepNext/>
        <w:widowControl/>
        <w:spacing w:after="60"/>
      </w:pPr>
      <w:r>
        <w:rPr>
          <w:b/>
        </w:rPr>
        <w:t xml:space="preserve">TECHNICAL BRANCH: </w:t>
      </w:r>
      <w:r/>
    </w:p>
    <w:p>
      <w:pPr>
        <w:widowControl/>
      </w:pPr>
      <w:r>
        <w:t>This is an important negative test. The expected behavior is an explicit statement of missing data, the reason a direct answer cannot be produced, and an optional clearly labeled alternative. An evaluation should fail a response that fabricates a PEG ranking or silently relabels P/E as PEG.</w:t>
      </w:r>
    </w:p>
    <w:p>
      <w:pPr>
        <w:widowControl/>
      </w:pPr>
      <w:r>
        <w:rPr>
          <w:b/>
        </w:rPr>
        <w:t xml:space="preserve">PRESENTER NOTE: </w:t>
      </w:r>
      <w:r>
        <w:t>Do not repeat generated statements that a company is the best value or that a premium is justified without additional evidence. Present the displayed ratios and explain the limits of the comparison.</w:t>
      </w:r>
    </w:p>
    <w:p>
      <w:pPr>
        <w:widowControl/>
      </w:pPr>
      <w:r>
        <w:rPr>
          <w:b/>
        </w:rPr>
        <w:t xml:space="preserve">TRANSITION: </w:t>
      </w:r>
      <w:r>
        <w:t>We will close the Genie portion with a point-in-time lookup that we can inspect precisely.</w:t>
      </w:r>
    </w:p>
    <w:p>
      <w:pPr>
        <w:pStyle w:val="Heading1"/>
      </w:pPr>
      <w:r>
        <w:t>Scene 18 Peak closing price and transition to the App</w:t>
      </w:r>
    </w:p>
    <w:p>
      <w:pPr>
        <w:widowControl/>
      </w:pPr>
      <w:r>
        <w:rPr>
          <w:b/>
        </w:rPr>
        <w:t xml:space="preserve">SHOW: </w:t>
      </w:r>
      <w:r>
        <w:t>Source page 30. Display What was the highest closing price NVDA reached. Point to the reported 207.04 dollars and 29 October 2025 date.</w:t>
      </w:r>
    </w:p>
    <w:p>
      <w:pPr>
        <w:keepNext/>
        <w:widowControl/>
        <w:spacing w:after="60"/>
      </w:pPr>
      <w:r>
        <w:rPr>
          <w:b/>
        </w:rPr>
        <w:t xml:space="preserve">SAY: </w:t>
      </w:r>
      <w:r/>
    </w:p>
    <w:p>
      <w:pPr>
        <w:widowControl/>
      </w:pPr>
      <w:r>
        <w:t>The agent identifies the highest closing price in the selected dataset and returns the corresponding date. The distinction between closing price and intraday high is explicit in the question and should remain explicit in the answer.</w:t>
      </w:r>
    </w:p>
    <w:p>
      <w:pPr>
        <w:widowControl/>
      </w:pPr>
      <w:r>
        <w:t>This completes the standalone Genie portion. We have asked about rankings, trends, document coverage, variability, missing measures, and an individual observation. In each case, our review comes back to the same questions: what data was used, what calculation was performed, and what does the result actually support?</w:t>
      </w:r>
    </w:p>
    <w:p>
      <w:pPr>
        <w:keepNext/>
        <w:widowControl/>
        <w:spacing w:after="60"/>
      </w:pPr>
      <w:r>
        <w:rPr>
          <w:b/>
        </w:rPr>
        <w:t xml:space="preserve">TECHNICAL BRANCH: </w:t>
      </w:r>
      <w:r/>
    </w:p>
    <w:p>
      <w:pPr>
        <w:widowControl/>
      </w:pPr>
      <w:r>
        <w:t>For the peak lookup, verify the selected price column and the handling of ties. MAX(price_close) identifies a value; recovering the correct date requires matching rows or ordering complete records. Selecting an arbitrary date beside an aggregate would not be valid evidence of when the peak occurred.</w:t>
      </w:r>
    </w:p>
    <w:p>
      <w:pPr>
        <w:widowControl/>
      </w:pPr>
      <w:r>
        <w:rPr>
          <w:b/>
        </w:rPr>
        <w:t xml:space="preserve">TRANSITION: </w:t>
      </w:r>
      <w:r>
        <w:t>We will now move into the Databricks App and show how the same research workflow can be delivered through a purpose-built interface.</w:t>
      </w:r>
    </w:p>
    <w:p>
      <w:pPr>
        <w:pStyle w:val="Heading1"/>
      </w:pPr>
      <w:r>
        <w:t>Scene 19 Databricks App and the conversation workspace</w:t>
      </w:r>
    </w:p>
    <w:p>
      <w:pPr>
        <w:widowControl/>
      </w:pPr>
      <w:r>
        <w:rPr>
          <w:b/>
        </w:rPr>
        <w:t xml:space="preserve">SHOW: </w:t>
      </w:r>
      <w:r>
        <w:t>Source page 31. Switch to the Databricks App tab. Point to the MAG7 Financial You.com Agent header, the conversation on the left, and Graph, Data, and Dashboard tabs on the right.</w:t>
      </w:r>
    </w:p>
    <w:p>
      <w:pPr>
        <w:keepNext/>
        <w:widowControl/>
        <w:spacing w:after="60"/>
      </w:pPr>
      <w:r>
        <w:rPr>
          <w:b/>
        </w:rPr>
        <w:t xml:space="preserve">SAY: </w:t>
      </w:r>
      <w:r/>
    </w:p>
    <w:p>
      <w:pPr>
        <w:widowControl/>
      </w:pPr>
      <w:r>
        <w:t>The Databricks App is the final experience in our sequence. It keeps the conversation visible while we move among supporting views. An analyst can read an answer, inspect its SQL, and explore the data without losing the thread of the investigation.</w:t>
      </w:r>
    </w:p>
    <w:p>
      <w:pPr>
        <w:widowControl/>
      </w:pPr>
      <w:r>
        <w:t>The first visible answer describes Apple's price trend over the last six months of the available dataset. The SQL is included in the response. This gives a technical reviewer something concrete to inspect while a business user can stay with the narrative and chart views.</w:t>
      </w:r>
    </w:p>
    <w:p>
      <w:pPr>
        <w:widowControl/>
      </w:pPr>
      <w:r>
        <w:t>Notice the date anchor. In the visible SQL, the six-month window is derived from the maximum available date for the selected stock. That is appropriate for a historical demonstration if we disclose it. It would be misleading to describe the result as the six months before today's date without checking that the dataset is current.</w:t>
      </w:r>
    </w:p>
    <w:p>
      <w:pPr>
        <w:keepNext/>
        <w:widowControl/>
        <w:spacing w:after="60"/>
      </w:pPr>
      <w:r>
        <w:rPr>
          <w:b/>
        </w:rPr>
        <w:t xml:space="preserve">TECHNICAL BRANCH: </w:t>
      </w:r>
      <w:r/>
    </w:p>
    <w:p>
      <w:pPr>
        <w:widowControl/>
      </w:pPr>
      <w:r>
        <w:t>The visible SQL uses a common table expression for the latest available date, filters the symbol and missing values, and orders the selected observations by date. The UI proves that a query is displayed with the answer. It does not prove that the displayed string is byte-for-byte identical to the executed statement. The stronger implementation associates response, SQL text, query identifier, and result metadata in a single auditable record.</w:t>
      </w:r>
    </w:p>
    <w:p>
      <w:pPr>
        <w:widowControl/>
      </w:pPr>
      <w:r>
        <w:rPr>
          <w:b/>
        </w:rPr>
        <w:t xml:space="preserve">PRESENTER NOTE: </w:t>
      </w:r>
      <w:r>
        <w:t>The exact frontend framework and backend routing cannot be identified reliably from these screenshots. Do not describe the App as React, Streamlit, FastAPI, or another framework without the repository or deployment manifest.</w:t>
      </w:r>
    </w:p>
    <w:p>
      <w:pPr>
        <w:widowControl/>
      </w:pPr>
      <w:r>
        <w:rPr>
          <w:b/>
        </w:rPr>
        <w:t xml:space="preserve">TRANSITION: </w:t>
      </w:r>
      <w:r>
        <w:t>We will reuse familiar analytical questions so we can focus on how the application exposes their evidence.</w:t>
      </w:r>
    </w:p>
    <w:p>
      <w:pPr>
        <w:pStyle w:val="Heading1"/>
      </w:pPr>
      <w:r>
        <w:t>Scene 20 App comparison and inspectable SQL</w:t>
      </w:r>
    </w:p>
    <w:p>
      <w:pPr>
        <w:widowControl/>
      </w:pPr>
      <w:r>
        <w:rPr>
          <w:b/>
        </w:rPr>
        <w:t xml:space="preserve">SHOW: </w:t>
      </w:r>
      <w:r>
        <w:t>Source page 32. Display Compare the market cap to EV/EBITDA ratio across companies. Keep the SQL query and graph panel visible.</w:t>
      </w:r>
    </w:p>
    <w:p>
      <w:pPr>
        <w:keepNext/>
        <w:widowControl/>
        <w:spacing w:after="60"/>
      </w:pPr>
      <w:r>
        <w:rPr>
          <w:b/>
        </w:rPr>
        <w:t xml:space="preserve">SAY: </w:t>
      </w:r>
      <w:r/>
    </w:p>
    <w:p>
      <w:pPr>
        <w:widowControl/>
      </w:pPr>
      <w:r>
        <w:t>We have returned to the market-cap and valuation comparison, now inside the App. The response gives selected company values and displays a SQL query beneath the explanation.</w:t>
      </w:r>
    </w:p>
    <w:p>
      <w:pPr>
        <w:widowControl/>
      </w:pPr>
      <w:r>
        <w:t>The query builds a latest-date selection by symbol and joins those selected dates back to the underlying observations. That is an explicit latest-available-per-company policy. It is useful to see the rule instead of assuming that every company necessarily has an observation on the same date.</w:t>
      </w:r>
    </w:p>
    <w:p>
      <w:pPr>
        <w:widowControl/>
      </w:pPr>
      <w:r>
        <w:t>For a production response, we would also expose each company's selected date or enforce a common-date rule. That makes stale or missing company data visible rather than hiding it behind a single latest label.</w:t>
      </w:r>
    </w:p>
    <w:p>
      <w:pPr>
        <w:keepNext/>
        <w:widowControl/>
        <w:spacing w:after="60"/>
      </w:pPr>
      <w:r>
        <w:rPr>
          <w:b/>
        </w:rPr>
        <w:t xml:space="preserve">TECHNICAL BRANCH: </w:t>
      </w:r>
      <w:r/>
    </w:p>
    <w:p>
      <w:pPr>
        <w:widowControl/>
      </w:pPr>
      <w:r>
        <w:t>The visible pattern depends on uniqueness at symbol and date. If duplicate rows exist, joining back to a maximum date can return multiple observations for one company. Enforce or test the key in the curated data. If source revisions must coexist, use an explicit deterministic version rule rather than an arbitrary first row.</w:t>
      </w:r>
    </w:p>
    <w:p>
      <w:pPr>
        <w:widowControl/>
      </w:pPr>
      <w:r>
        <w:rPr>
          <w:b/>
        </w:rPr>
        <w:t xml:space="preserve">PRESENTER NOTE: </w:t>
      </w:r>
      <w:r>
        <w:t>A graph adjacent to this response does not establish that the answer was generated by graph traversal. Treat the relationship visualization and the SQL evidence as separate capabilities unless an execution trace shows the connection.</w:t>
      </w:r>
    </w:p>
    <w:p>
      <w:pPr>
        <w:widowControl/>
      </w:pPr>
      <w:r>
        <w:rPr>
          <w:b/>
        </w:rPr>
        <w:t xml:space="preserve">TRANSITION: </w:t>
      </w:r>
      <w:r>
        <w:t>The next answer shows how we make a comparative ranking reviewable.</w:t>
      </w:r>
    </w:p>
    <w:p>
      <w:pPr>
        <w:pStyle w:val="Heading1"/>
      </w:pPr>
      <w:r>
        <w:t>Scene 21 App ranking and period selection</w:t>
      </w:r>
    </w:p>
    <w:p>
      <w:pPr>
        <w:widowControl/>
      </w:pPr>
      <w:r>
        <w:rPr>
          <w:b/>
        </w:rPr>
        <w:t xml:space="preserve">SHOW: </w:t>
      </w:r>
      <w:r>
        <w:t>Source page 33. Display Which stock has appreciated the most in absolute dollar terms. Point to the answer, follow-up clarification, and SQL.</w:t>
      </w:r>
    </w:p>
    <w:p>
      <w:pPr>
        <w:keepNext/>
        <w:widowControl/>
        <w:spacing w:after="60"/>
      </w:pPr>
      <w:r>
        <w:rPr>
          <w:b/>
        </w:rPr>
        <w:t xml:space="preserve">SAY: </w:t>
      </w:r>
      <w:r/>
    </w:p>
    <w:p>
      <w:pPr>
        <w:widowControl/>
      </w:pPr>
      <w:r>
        <w:t>The App identifies Alphabet in the captured result and shows the dates and price difference used in that answer. It also offers to compare a fixed recent period instead of the full available range. That follow-up matters because the observation window is part of the meaning of the answer.</w:t>
      </w:r>
    </w:p>
    <w:p>
      <w:pPr>
        <w:widowControl/>
      </w:pPr>
      <w:r>
        <w:t>The SQL exposes the process: find the time boundaries for each symbol, retrieve the boundary prices, calculate the difference, and rank the companies. We can review whether those boundaries match the analytical intent.</w:t>
      </w:r>
    </w:p>
    <w:p>
      <w:pPr>
        <w:keepNext/>
        <w:widowControl/>
        <w:spacing w:after="60"/>
      </w:pPr>
      <w:r>
        <w:rPr>
          <w:b/>
        </w:rPr>
        <w:t xml:space="preserve">TECHNICAL BRANCH: </w:t>
      </w:r>
      <w:r/>
    </w:p>
    <w:p>
      <w:pPr>
        <w:widowControl/>
      </w:pPr>
      <w:r>
        <w:t>The visible query uses per-symbol date bounds and a dense ranking over the price difference. That can retain tied leaders, which is useful. It also creates a validation question: are all companies being compared over the same interval? If not, either use a common eligible interval or clearly label the comparison as each company's available-history gain.</w:t>
      </w:r>
    </w:p>
    <w:p>
      <w:pPr>
        <w:widowControl/>
      </w:pPr>
      <w:r>
        <w:rPr>
          <w:b/>
        </w:rPr>
        <w:t xml:space="preserve">PRESENTER NOTE: </w:t>
      </w:r>
      <w:r>
        <w:t>Do not imply that showing SQL automatically makes the answer correct. It makes the calculation inspectable. Correctness still requires validation of the inputs, grain, and semantics.</w:t>
      </w:r>
    </w:p>
    <w:p>
      <w:pPr>
        <w:widowControl/>
      </w:pPr>
      <w:r>
        <w:rPr>
          <w:b/>
        </w:rPr>
        <w:t xml:space="preserve">TRANSITION: </w:t>
      </w:r>
      <w:r>
        <w:t>We will use the monthly trend to walk through a compact query from question to result.</w:t>
      </w:r>
    </w:p>
    <w:p>
      <w:pPr>
        <w:pStyle w:val="Heading1"/>
      </w:pPr>
      <w:r>
        <w:t>Scene 22 App monthly trend and source object</w:t>
      </w:r>
    </w:p>
    <w:p>
      <w:pPr>
        <w:widowControl/>
      </w:pPr>
      <w:r>
        <w:rPr>
          <w:b/>
        </w:rPr>
        <w:t xml:space="preserve">SHOW: </w:t>
      </w:r>
      <w:r>
        <w:t>Source page 34. Display Show the monthly average closing price trend for GOOGL. Point to the result and the fully qualified source table in the SQL.</w:t>
      </w:r>
    </w:p>
    <w:p>
      <w:pPr>
        <w:keepNext/>
        <w:widowControl/>
        <w:spacing w:after="60"/>
      </w:pPr>
      <w:r>
        <w:rPr>
          <w:b/>
        </w:rPr>
        <w:t xml:space="preserve">SAY: </w:t>
      </w:r>
      <w:r/>
    </w:p>
    <w:p>
      <w:pPr>
        <w:widowControl/>
      </w:pPr>
      <w:r>
        <w:t>This answer is a compact example of an inspectable analytical response. The visible query reads alexxx.era_research.ticker_data, selects GOOGL, rejects missing dates and closing prices, groups observations by month, and calculates the average closing price.</w:t>
      </w:r>
    </w:p>
    <w:p>
      <w:pPr>
        <w:widowControl/>
      </w:pPr>
      <w:r>
        <w:t>The fully qualified name identifies the catalog, schema, and table. That matters when the same project exists in development and production, because a short table name can otherwise resolve against an unintended default context.</w:t>
      </w:r>
    </w:p>
    <w:p>
      <w:pPr>
        <w:widowControl/>
      </w:pPr>
      <w:r>
        <w:t>We can now check the narrative against the result: the monthly values, the low point, and the recovery described in the text should all be supported by the returned rows. The narrative should not add an unsupported explanation for the movements.</w:t>
      </w:r>
    </w:p>
    <w:p>
      <w:pPr>
        <w:keepNext/>
        <w:widowControl/>
        <w:spacing w:after="60"/>
      </w:pPr>
      <w:r>
        <w:rPr>
          <w:b/>
        </w:rPr>
        <w:t xml:space="preserve">TECHNICAL BRANCH: </w:t>
      </w:r>
      <w:r/>
    </w:p>
    <w:p>
      <w:pPr>
        <w:widowControl/>
      </w:pPr>
      <w:r>
        <w:t>The displayed query is logically equivalent to the following readable formatting. This is transcribed from the visible statement for discussion, not executed during preparation of this script.</w:t>
      </w:r>
    </w:p>
    <w:p>
      <w:pPr>
        <w:spacing w:after="180"/>
      </w:pPr>
      <w:r>
        <w:rPr>
          <w:rFonts w:ascii="Consolas" w:hAnsi="Consolas"/>
          <w:sz w:val="18"/>
        </w:rPr>
        <w:t>SELECT DATE_TRUNC('MONTH', `Date`) AS month,</w:t>
        <w:br/>
        <w:t xml:space="preserve">       AVG(price_close) AS avg_closing_price</w:t>
        <w:br/>
        <w:t>FROM alexxx.era_research.ticker_data</w:t>
        <w:br/>
        <w:t>WHERE symbol = 'GOOGL'</w:t>
        <w:br/>
        <w:t xml:space="preserve">  AND `Date` IS NOT NULL</w:t>
        <w:br/>
        <w:t xml:space="preserve">  AND price_close IS NOT NULL</w:t>
        <w:br/>
        <w:t>GROUP BY DATE_TRUNC('MONTH', `Date`)</w:t>
        <w:br/>
        <w:t>ORDER BY month;</w:t>
      </w:r>
    </w:p>
    <w:p>
      <w:pPr>
        <w:widowControl/>
      </w:pPr>
      <w:r>
        <w:rPr>
          <w:b/>
        </w:rPr>
        <w:t xml:space="preserve">PRESENTER NOTE: </w:t>
      </w:r>
      <w:r>
        <w:t>This is the strongest directly visible object-level implementation evidence in the screenshot set. It does not establish the table's storage format, upstream pipeline, or whether it is the canonical source for every other view.</w:t>
      </w:r>
    </w:p>
    <w:p>
      <w:pPr>
        <w:widowControl/>
      </w:pPr>
      <w:r>
        <w:rPr>
          <w:b/>
        </w:rPr>
        <w:t xml:space="preserve">TRANSITION: </w:t>
      </w:r>
      <w:r>
        <w:t>We will leave the answer visible and inspect the relationship view alongside it.</w:t>
      </w:r>
    </w:p>
    <w:p>
      <w:pPr>
        <w:pStyle w:val="Heading1"/>
      </w:pPr>
      <w:r>
        <w:t>Scene 23 Graph exploration and its boundaries</w:t>
      </w:r>
    </w:p>
    <w:p>
      <w:pPr>
        <w:widowControl/>
      </w:pPr>
      <w:r>
        <w:rPr>
          <w:b/>
        </w:rPr>
        <w:t xml:space="preserve">SHOW: </w:t>
      </w:r>
      <w:r>
        <w:t>Source pages 35–39. Keep the Graph tab selected. Hover company nodes as shown on pages 35–37, then trading-day nodes as shown on pages 38–39. Point to the legend and the focus-a-ticker control. Use that control only if its live behavior has been rehearsed.</w:t>
      </w:r>
    </w:p>
    <w:p>
      <w:pPr>
        <w:keepNext/>
        <w:widowControl/>
        <w:spacing w:after="60"/>
      </w:pPr>
      <w:r>
        <w:rPr>
          <w:b/>
        </w:rPr>
        <w:t xml:space="preserve">SAY: </w:t>
      </w:r>
      <w:r/>
    </w:p>
    <w:p>
      <w:pPr>
        <w:widowControl/>
      </w:pPr>
      <w:r>
        <w:t>The graph provides another way to explore the domain. Company tooltips expose attributes such as market capitalization, beta, and P/E. Trading-day tooltips expose a date, a closing price, return, and volume. We can inspect these while keeping the question and answer on screen.</w:t>
      </w:r>
    </w:p>
    <w:p>
      <w:pPr>
        <w:widowControl/>
      </w:pPr>
      <w:r>
        <w:t>The legend distinguishes relationship categories, including a correlation representation. Those categories need defined meanings. A company-to-trading-day relationship can represent an observation belonging to a company. A correlation relationship should specify the series, window, and calculation used.</w:t>
      </w:r>
    </w:p>
    <w:p>
      <w:pPr>
        <w:widowControl/>
      </w:pPr>
      <w:r>
        <w:t>We should treat proximity in the layout as a visualization choice unless the implementation explicitly assigns meaning to distance. Likewise, a connecting line does not establish causality.</w:t>
      </w:r>
    </w:p>
    <w:p>
      <w:pPr>
        <w:keepNext/>
        <w:widowControl/>
        <w:spacing w:after="60"/>
      </w:pPr>
      <w:r>
        <w:rPr>
          <w:b/>
        </w:rPr>
        <w:t xml:space="preserve">TECHNICAL BRANCH: </w:t>
      </w:r>
      <w:r/>
    </w:p>
    <w:p>
      <w:pPr>
        <w:widowControl/>
      </w:pPr>
      <w:r>
        <w:t>A recommended graph payload has stable node IDs, typed nodes, typed edges, and explicit attributes. Each edge should have a documented source and, where appropriate, an effective date or calculation window. Correlation computed on price levels can behave very differently from correlation computed on returns. Choose a justified definition and label it.</w:t>
      </w:r>
    </w:p>
    <w:p>
      <w:pPr>
        <w:widowControl/>
      </w:pPr>
      <w:r>
        <w:t>The visible graph does not prove a graph database, GraphRAG, portfolio optimization, or an agent workflow diagram. To claim GraphRAG, show a request trace that retrieves or traverses graph relationships and uses them as evidence in an answer.</w:t>
      </w:r>
    </w:p>
    <w:p>
      <w:pPr>
        <w:widowControl/>
      </w:pPr>
      <w:r>
        <w:rPr>
          <w:b/>
        </w:rPr>
        <w:t xml:space="preserve">TRANSITION: </w:t>
      </w:r>
      <w:r>
        <w:t>We will now switch from relationships to direct numerical exploration without changing the conversation.</w:t>
      </w:r>
    </w:p>
    <w:p>
      <w:pPr>
        <w:pStyle w:val="Heading1"/>
      </w:pPr>
      <w:r>
        <w:t>Scene 24 Data panel and metric switching</w:t>
      </w:r>
    </w:p>
    <w:p>
      <w:pPr>
        <w:widowControl/>
      </w:pPr>
      <w:r>
        <w:rPr>
          <w:b/>
        </w:rPr>
        <w:t xml:space="preserve">SHOW: </w:t>
      </w:r>
      <w:r>
        <w:t>Source pages 40–47. Click Data. Show Close price on page 40, Open price on 41, Volume on 42, Market cap on 43, P/E Trailing on 44, P/E Forward on 45, EV/EBITDA on 46, and Beta on 47. Point to the company selector chips.</w:t>
      </w:r>
    </w:p>
    <w:p>
      <w:pPr>
        <w:keepNext/>
        <w:widowControl/>
        <w:spacing w:after="60"/>
      </w:pPr>
      <w:r>
        <w:rPr>
          <w:b/>
        </w:rPr>
        <w:t xml:space="preserve">SAY: </w:t>
      </w:r>
      <w:r/>
    </w:p>
    <w:p>
      <w:pPr>
        <w:widowControl/>
      </w:pPr>
      <w:r>
        <w:t>The Data panel gives the analyst a controlled way to explore metrics directly. We can keep the current conversation in view while selecting companies and changing the plotted measure.</w:t>
      </w:r>
    </w:p>
    <w:p>
      <w:pPr>
        <w:widowControl/>
      </w:pPr>
      <w:r>
        <w:t>The first three views show price and activity observations. The later views show market capitalization and valuation or risk-related measures. The interface makes it easy to switch among them, so the labels and date semantics must remain precise as the measure changes.</w:t>
      </w:r>
    </w:p>
    <w:p>
      <w:pPr>
        <w:widowControl/>
      </w:pPr>
      <w:r>
        <w:t>The flat valuation lines bring us back to the earlier data-model question. If these are current attributes attached to historical observations, we should present them as snapshots. A repeated value across dates is not evidence that the market metric truly stayed constant throughout the year.</w:t>
      </w:r>
    </w:p>
    <w:p>
      <w:pPr>
        <w:keepNext/>
        <w:widowControl/>
        <w:spacing w:after="60"/>
      </w:pPr>
      <w:r>
        <w:rPr>
          <w:b/>
        </w:rPr>
        <w:t xml:space="preserve">TECHNICAL BRANCH: </w:t>
      </w:r>
      <w:r/>
    </w:p>
    <w:p>
      <w:pPr>
        <w:widowControl/>
      </w:pPr>
      <w:r>
        <w:t>For the recommended implementation, fixed chart controls should map to an allowlist of supported metric expressions and validated company identifiers. Pass filter values as parameters rather than concatenating them into SQL. Avoid asking the language model to generate a new query for every known chart toggle when a tested query template can serve the interaction.</w:t>
      </w:r>
    </w:p>
    <w:p>
      <w:pPr>
        <w:widowControl/>
      </w:pPr>
      <w:r>
        <w:t>Reuse a consistent data-access service for the chart and card values. If cached results are used, include the data snapshot and relevant filters in the cache key. Where access varies by user, cache scope must also preserve authorization boundaries. Do not reuse a cached privileged user's result for another user.</w:t>
      </w:r>
    </w:p>
    <w:p>
      <w:pPr>
        <w:widowControl/>
      </w:pPr>
      <w:r>
        <w:rPr>
          <w:b/>
        </w:rPr>
        <w:t xml:space="preserve">PRESENTER NOTE: </w:t>
      </w:r>
      <w:r>
        <w:t>The screenshots show a changed right-hand panel while the conversation remains visible. They do not demonstrate automatic synchronization between a question's filters and every graph or chart selection. State that as a feature only after testing it.</w:t>
      </w:r>
    </w:p>
    <w:p>
      <w:pPr>
        <w:widowControl/>
      </w:pPr>
      <w:r>
        <w:rPr>
          <w:b/>
        </w:rPr>
        <w:t xml:space="preserve">TRANSITION: </w:t>
      </w:r>
      <w:r>
        <w:t>We will finish by opening the dashboard views inside the same application.</w:t>
      </w:r>
    </w:p>
    <w:p>
      <w:pPr>
        <w:pStyle w:val="Heading1"/>
      </w:pPr>
      <w:r>
        <w:t>Scene 25 In App market and valuation dashboards</w:t>
      </w:r>
    </w:p>
    <w:p>
      <w:pPr>
        <w:widowControl/>
      </w:pPr>
      <w:r>
        <w:rPr>
          <w:b/>
        </w:rPr>
        <w:t xml:space="preserve">SHOW: </w:t>
      </w:r>
      <w:r>
        <w:t>Source page 48. Click Dashboard, then Market. Show Valuation on pages 49–50. Keep the conversation visible beside the dashboard panel.</w:t>
      </w:r>
    </w:p>
    <w:p>
      <w:pPr>
        <w:keepNext/>
        <w:widowControl/>
        <w:spacing w:after="60"/>
      </w:pPr>
      <w:r>
        <w:rPr>
          <w:b/>
        </w:rPr>
        <w:t xml:space="preserve">SAY: </w:t>
      </w:r>
      <w:r/>
    </w:p>
    <w:p>
      <w:pPr>
        <w:widowControl/>
      </w:pPr>
      <w:r>
        <w:t>The Dashboard panel brings overview measures into the research workspace. We can revisit market context while retaining the analysis we were reading. The valuation view then brings back the comparison metrics from the beginning of the demonstration.</w:t>
      </w:r>
    </w:p>
    <w:p>
      <w:pPr>
        <w:widowControl/>
      </w:pPr>
      <w:r>
        <w:t>This is a useful product design because the analyst does not have to reconstruct the context in a separate window. It also creates a consistency obligation for the implementation: the same named metric should use the same definition and data snapshot across the standalone dashboard, the agent response, and the App.</w:t>
      </w:r>
    </w:p>
    <w:p>
      <w:pPr>
        <w:widowControl/>
      </w:pPr>
      <w:r>
        <w:t>In this captured market view, average daily volume is 24.2 million, compared with 70.46 million on the standalone dashboard. We need to reconcile the source, time window, selected companies, and aggregation rule. Until then, we should acknowledge that the two figures are not a verified match.</w:t>
      </w:r>
    </w:p>
    <w:p>
      <w:pPr>
        <w:keepNext/>
        <w:widowControl/>
        <w:spacing w:after="60"/>
      </w:pPr>
      <w:r>
        <w:rPr>
          <w:b/>
        </w:rPr>
        <w:t xml:space="preserve">TECHNICAL BRANCH: </w:t>
      </w:r>
      <w:r/>
    </w:p>
    <w:p>
      <w:pPr>
        <w:widowControl/>
      </w:pPr>
      <w:r>
        <w:t>The screenshots do not show whether these panels are native embedded dashboard components or custom-rendered charts. A shared visual theme does not prove embedding. Inspect the App's rendering code or resource configuration before describing the mechanism. Regardless of rendering technology, regression tests should compare shared metrics under the same filters and snapshot.</w:t>
      </w:r>
    </w:p>
    <w:p>
      <w:pPr>
        <w:widowControl/>
      </w:pPr>
      <w:r>
        <w:rPr>
          <w:b/>
        </w:rPr>
        <w:t xml:space="preserve">TRANSITION: </w:t>
      </w:r>
      <w:r>
        <w:t>We will close with the operational and research-coverage views, because they determine how we support the application after the demonstration.</w:t>
      </w:r>
    </w:p>
    <w:p>
      <w:pPr>
        <w:pStyle w:val="Heading1"/>
      </w:pPr>
      <w:r>
        <w:t>Scene 26 In App operations and library</w:t>
      </w:r>
    </w:p>
    <w:p>
      <w:pPr>
        <w:widowControl/>
      </w:pPr>
      <w:r>
        <w:rPr>
          <w:b/>
        </w:rPr>
        <w:t xml:space="preserve">SHOW: </w:t>
      </w:r>
      <w:r>
        <w:t>Source page 51. Click Agent Ops. Point to 83 requests, 58,306 milliseconds average duration, and 130,473 milliseconds P95 duration. Then click Library on page 52 and show the 634-document total, source chart, and breakdown.</w:t>
      </w:r>
    </w:p>
    <w:p>
      <w:pPr>
        <w:keepNext/>
        <w:widowControl/>
        <w:spacing w:after="60"/>
      </w:pPr>
      <w:r>
        <w:rPr>
          <w:b/>
        </w:rPr>
        <w:t xml:space="preserve">SAY: </w:t>
      </w:r>
      <w:r/>
    </w:p>
    <w:p>
      <w:pPr>
        <w:widowControl/>
      </w:pPr>
      <w:r>
        <w:t>The App exposes the operational view alongside the analyst workflow. The request count and duration measures align closely with the earlier Agent Operations dashboard, allowing us to revisit service behavior without leaving the application.</w:t>
      </w:r>
    </w:p>
    <w:p>
      <w:pPr>
        <w:widowControl/>
      </w:pPr>
      <w:r>
        <w:t>The Library panel also returns to the document inventory and its distribution by source. This is where research coverage and operational readiness meet. We want to know both whether the requested source exists and whether the answering path can use it successfully.</w:t>
      </w:r>
    </w:p>
    <w:p>
      <w:pPr>
        <w:widowControl/>
      </w:pPr>
      <w:r>
        <w:t>For an analyst, the value of this experience is continuity. We can start with an overview, ask a question, inspect the query, and move among evidence views while retaining the conversation. For the engineering team, the task is to keep the data definitions, access boundaries, and operational measurements consistent across those interactions.</w:t>
      </w:r>
    </w:p>
    <w:p>
      <w:pPr>
        <w:widowControl/>
      </w:pPr>
      <w:r>
        <w:rPr>
          <w:b/>
        </w:rPr>
        <w:t xml:space="preserve">TRANSITION TO CLOSE: </w:t>
      </w:r>
      <w:r>
        <w:t>We have now completed the full sequence: Dashboard, Genie Agent, and Databricks App.</w:t>
      </w:r>
    </w:p>
    <w:p>
      <w:pPr>
        <w:pStyle w:val="Heading1"/>
      </w:pPr>
      <w:r>
        <w:t>Closing narration</w:t>
      </w:r>
    </w:p>
    <w:p>
      <w:pPr>
        <w:widowControl/>
      </w:pPr>
      <w:r>
        <w:rPr>
          <w:b/>
        </w:rPr>
        <w:t xml:space="preserve">SHOW: </w:t>
      </w:r>
      <w:r>
        <w:t>Keep source page 52 visible, or return to the App Market dashboard without changing applications.</w:t>
      </w:r>
    </w:p>
    <w:p>
      <w:pPr>
        <w:keepNext/>
        <w:widowControl/>
        <w:spacing w:after="60"/>
      </w:pPr>
      <w:r>
        <w:rPr>
          <w:b/>
        </w:rPr>
        <w:t xml:space="preserve">SAY: </w:t>
      </w:r>
      <w:r/>
    </w:p>
    <w:p>
      <w:pPr>
        <w:widowControl/>
      </w:pPr>
      <w:r>
        <w:t>We began with the financial overview, used the Genie Agent to investigate the data, and finished in the Databricks App that brings the experience together. The demonstration shows how an analyst can move from a question to an inspectable calculation and supporting views.</w:t>
      </w:r>
    </w:p>
    <w:p>
      <w:pPr>
        <w:widowControl/>
      </w:pPr>
      <w:r>
        <w:t>The implementation standard we want to preserve is straightforward: a defined source and time period, a calculation we can review, access appropriate to the requesting identity, and telemetry that helps us understand failures and latency. Where the question requires document contents or current external research, the next proof point is a traceable answer with source citations and visible tool execution.</w:t>
      </w:r>
    </w:p>
    <w:p>
      <w:pPr>
        <w:widowControl/>
      </w:pPr>
      <w:r>
        <w:t>The follow-on validation work is specific. We should reconcile the shared metrics, review the deployed permissions and agent routing, and run an evaluation set that includes the ambiguities and missing-data cases we encountered today. Those checks determine how confidently we can expand this demonstration into a reusable financial-research solution.</w:t>
      </w:r>
    </w:p>
    <w:p>
      <w:pPr>
        <w:pStyle w:val="Heading1"/>
        <w:pageBreakBefore/>
      </w:pPr>
      <w:r>
        <w:t>Implementation walkthrough for technical audiences</w:t>
      </w:r>
    </w:p>
    <w:p>
      <w:pPr>
        <w:widowControl/>
      </w:pPr>
      <w:r>
        <w:t>This appendix supplies the deeper build explanation. It is a recommended implementation and verification path mapped to the visible demo, not a claim that unseen configurations have been inspected. The suggested configuration screens are additional live views, not extra pages in the supplied PDF. Use them only when accessible and rehearsed. Preserve the main Dashboard, Genie Agent, App sequence before opening these optional engineering views.</w:t>
      </w:r>
    </w:p>
    <w:p>
      <w:pPr>
        <w:pStyle w:val="Heading2"/>
      </w:pPr>
      <w:r>
        <w:t>Build step 1 Establish the source and ingestion contracts</w:t>
      </w:r>
    </w:p>
    <w:p>
      <w:pPr>
        <w:widowControl/>
      </w:pPr>
      <w:r>
        <w:rPr>
          <w:b/>
        </w:rPr>
        <w:t xml:space="preserve">OPTIONAL SCREEN: </w:t>
      </w:r>
      <w:r>
        <w:t>Open the project's actual ingestion job or pipeline run. Show the source configuration, task dependencies, latest successful run, rejected-record output, and input/output counts. If those objects are unavailable, explain the design while remaining on the Library panel.</w:t>
      </w:r>
    </w:p>
    <w:p>
      <w:pPr>
        <w:keepNext/>
        <w:widowControl/>
        <w:spacing w:after="60"/>
      </w:pPr>
      <w:r>
        <w:rPr>
          <w:b/>
        </w:rPr>
        <w:t xml:space="preserve">SAY: </w:t>
      </w:r>
      <w:r/>
    </w:p>
    <w:p>
      <w:pPr>
        <w:widowControl/>
      </w:pPr>
      <w:r>
        <w:t>We begin the build explanation with the information contract. For market observations, we need the company identifier, trading date, numeric prices and volume, currency, provider, and the time at which the data was retrieved. For financial documents, we need a stable identity, publication and reporting dates, source location, and processing status. Those contracts determine what later answers can legitimately say.</w:t>
      </w:r>
    </w:p>
    <w:p>
      <w:pPr>
        <w:widowControl/>
      </w:pPr>
      <w:r>
        <w:t>The ingestion method should match how the provider delivers data. A scheduled API pull can be appropriate for a bounded daily market dataset. Incremental file ingestion can be appropriate when files land regularly in object storage. We should choose from the actual delivery pattern rather than claiming streaming is required for every dataset.</w:t>
      </w:r>
    </w:p>
    <w:p>
      <w:pPr>
        <w:keepNext/>
        <w:widowControl/>
        <w:spacing w:after="60"/>
      </w:pPr>
      <w:r>
        <w:rPr>
          <w:b/>
        </w:rPr>
        <w:t xml:space="preserve">IMPLEMENTATION DETAIL: </w:t>
      </w:r>
      <w:r/>
    </w:p>
    <w:p>
      <w:pPr>
        <w:widowControl/>
      </w:pPr>
      <w:r>
        <w:t>For this project, retain original responses or files and their retrieval metadata so transformations can be reproduced. In a recommended bronze, silver, and gold design, bronze preserves source payloads, silver normalizes and validates observations, and gold exposes agreed analytical measures. These layers can be logical responsibilities; a small demonstration does not need unnecessary copies or complex infrastructure merely to use the terminology.</w:t>
      </w:r>
    </w:p>
    <w:p>
      <w:pPr>
        <w:widowControl/>
      </w:pPr>
      <w:r>
        <w:t>Make incremental loads idempotent. For daily observations, reconcile provider revisions using a declared company-date key and a source-version or retrieval-time policy. For documents, use a canonical source identifier or content fingerprint to distinguish duplicates from amendments. A rerun should not double the totals shown in the dashboard.</w:t>
      </w:r>
    </w:p>
    <w:p>
      <w:pPr>
        <w:widowControl/>
      </w:pPr>
      <w:r>
        <w:t>Quarantine invalid records with reasons, such as missing symbols, invalid dates, impossible price relationships, negative volume, or unparseable payloads. Reconcile source counts with accepted, rejected, and superseded records. Test schema changes explicitly rather than silently dropping new fields or coercing malformed values.</w:t>
      </w:r>
    </w:p>
    <w:p>
      <w:pPr>
        <w:widowControl/>
      </w:pPr>
      <w:r>
        <w:rPr>
          <w:b/>
        </w:rPr>
        <w:t xml:space="preserve">EVIDENCE TO SHOW BEFORE SAYING WE IMPLEMENTED THIS: </w:t>
      </w:r>
      <w:r>
        <w:t>Actual job or pipeline definition, source adapter, transformation code, checkpoint or incremental state where applicable, a rerun result, and a reconciliation output. The screenshot sequence contains none of these artifacts.</w:t>
      </w:r>
    </w:p>
    <w:p>
      <w:pPr>
        <w:pStyle w:val="Heading2"/>
      </w:pPr>
      <w:r>
        <w:t>Build step 2 Govern the analytical objects</w:t>
      </w:r>
    </w:p>
    <w:p>
      <w:pPr>
        <w:widowControl/>
      </w:pPr>
      <w:r>
        <w:rPr>
          <w:b/>
        </w:rPr>
        <w:t xml:space="preserve">OPTIONAL SCREEN: </w:t>
      </w:r>
      <w:r>
        <w:t>Catalog Explorer for alexxx.era_research.ticker_data. Show the schema and column comments, then the available permissions and lineage tabs. Use the real document volume and manifest only if their identities have been verified.</w:t>
      </w:r>
    </w:p>
    <w:p>
      <w:pPr>
        <w:keepNext/>
        <w:widowControl/>
        <w:spacing w:after="60"/>
      </w:pPr>
      <w:r>
        <w:rPr>
          <w:b/>
        </w:rPr>
        <w:t xml:space="preserve">SAY: </w:t>
      </w:r>
      <w:r/>
    </w:p>
    <w:p>
      <w:pPr>
        <w:widowControl/>
      </w:pPr>
      <w:r>
        <w:t>The App's SQL gives us a concrete source object: alexxx.era_research.ticker_data. We can use Catalog Explorer to inspect its schema, business descriptions, ownership, and access. This is where we connect a natural-language term such as closing price to a specific field and its documented meaning.</w:t>
      </w:r>
    </w:p>
    <w:p>
      <w:pPr>
        <w:widowControl/>
      </w:pPr>
      <w:r>
        <w:t>Our governance review should identify the principals that can read analytical data, publish changes, and operate the service. Databricks recommends account-level identities, group-based grants and ownership, and service principals for automated jobs. Those recommendations make the operational responsibilities explicit. [W2]</w:t>
      </w:r>
    </w:p>
    <w:p>
      <w:pPr>
        <w:keepNext/>
        <w:widowControl/>
        <w:spacing w:after="60"/>
      </w:pPr>
      <w:r>
        <w:rPr>
          <w:b/>
        </w:rPr>
        <w:t xml:space="preserve">IMPLEMENTATION DETAIL: </w:t>
      </w:r>
      <w:r/>
    </w:p>
    <w:p>
      <w:pPr>
        <w:widowControl/>
      </w:pPr>
      <w:r>
        <w:t>Use separate identities for deployment, ingestion, application access, and analyst consumption where their responsibilities differ. The ingestion identity may need to modify curated tables; an analyst usually needs only the required read privileges. Review USE CATALOG, USE SCHEMA, SELECT, and relevant volume or endpoint access together. Navigation permission and data-read permission are not interchangeable.</w:t>
      </w:r>
    </w:p>
    <w:p>
      <w:pPr>
        <w:widowControl/>
      </w:pPr>
      <w:r>
        <w:t>Choose environment boundaries deliberately. An environment-scoped catalog is one possible pattern; a combination of project and environment scope can also be appropriate. Parameterize object identifiers in deployment configuration. Do not replace the observed catalog name in the narration with a proposed production name and imply that the migration already occurred.</w:t>
      </w:r>
    </w:p>
    <w:p>
      <w:pPr>
        <w:widowControl/>
      </w:pPr>
      <w:r>
        <w:t>Where confidentiality requires it, test row filters, column masks, and catalog/workspace boundaries under actual consumer identities. Lineage can help establish which transformations feed a table, but it does not independently prove that an LLM's conclusion is supported by those data.</w:t>
      </w:r>
    </w:p>
    <w:p>
      <w:pPr>
        <w:widowControl/>
      </w:pPr>
      <w:r>
        <w:rPr>
          <w:b/>
        </w:rPr>
        <w:t xml:space="preserve">EVIDENCE TO SHOW: </w:t>
      </w:r>
      <w:r>
        <w:t>Actual grants, job run-as identity, application resource permissions, and positive and negative access tests. The older supplied Unity Catalog document includes historical product limitations. Use it for durable governance principles and verify product behavior against current documentation. [S3, W2]</w:t>
      </w:r>
    </w:p>
    <w:p>
      <w:pPr>
        <w:pStyle w:val="Heading2"/>
      </w:pPr>
      <w:r>
        <w:t>Build step 3 Define common metrics before building views</w:t>
      </w:r>
    </w:p>
    <w:p>
      <w:pPr>
        <w:widowControl/>
      </w:pPr>
      <w:r>
        <w:rPr>
          <w:b/>
        </w:rPr>
        <w:t xml:space="preserve">OPTIONAL SCREEN: </w:t>
      </w:r>
      <w:r>
        <w:t>Actual dashboard dataset SQL and a corresponding shared view or semantic definition. Show query output before the visualization. Use published mode for the audience-facing demonstration and an editor tab for this engineering explanation.</w:t>
      </w:r>
    </w:p>
    <w:p>
      <w:pPr>
        <w:keepNext/>
        <w:widowControl/>
        <w:spacing w:after="60"/>
      </w:pPr>
      <w:r>
        <w:rPr>
          <w:b/>
        </w:rPr>
        <w:t xml:space="preserve">SAY: </w:t>
      </w:r>
      <w:r/>
    </w:p>
    <w:p>
      <w:pPr>
        <w:widowControl/>
      </w:pPr>
      <w:r>
        <w:t>The dashboard and the App can look consistent while still computing different numbers. We therefore need a common definition for each repeated metric, including its grain, date policy, filters, unit, and handling of missing values. That is the implementation work that makes the interfaces agree.</w:t>
      </w:r>
    </w:p>
    <w:p>
      <w:pPr>
        <w:widowControl/>
      </w:pPr>
      <w:r>
        <w:t>For market capitalization, we define the selected company observation. For volume, we define whether the average is across company-days or across total daily activity. For document counts, we define the canonical document key and processing stage. We then test those calculations directly before binding them to charts and cards.</w:t>
      </w:r>
    </w:p>
    <w:p>
      <w:pPr>
        <w:keepNext/>
        <w:widowControl/>
        <w:spacing w:after="60"/>
      </w:pPr>
      <w:r>
        <w:rPr>
          <w:b/>
        </w:rPr>
        <w:t xml:space="preserve">IMPLEMENTATION DETAIL: </w:t>
      </w:r>
      <w:r/>
    </w:p>
    <w:p>
      <w:pPr>
        <w:widowControl/>
      </w:pPr>
      <w:r>
        <w:t>For this application, maintain a small metric contract with fields for metric name, SQL definition, eligible population, observation date, refresh time, and null behavior. Candidate shared datasets include a company-day price view, a latest-valuation view, a canonical-document inventory, and an agent-request summary. These are proposed responsibilities, not claimed existing object names.</w:t>
      </w:r>
    </w:p>
    <w:p>
      <w:pPr>
        <w:widowControl/>
      </w:pPr>
      <w:r>
        <w:t>Validate chart field mappings and data types against actual query results. Dates must sort as dates, volume as a number, and percentages as consistently scaled values. Include units in labels. Use grouped bars for alternative valuation ratios rather than adding them together in a stack. Limit chart payloads to the selected period and companies.</w:t>
      </w:r>
    </w:p>
    <w:p>
      <w:pPr>
        <w:widowControl/>
      </w:pPr>
      <w:r>
        <w:t>The supplied dashboard skill emphasizes validating dataset SQL and the columns used by widgets before deployment. That is directly applicable to avoiding visually plausible but semantically incorrect cards. [S6]</w:t>
      </w:r>
    </w:p>
    <w:p>
      <w:pPr>
        <w:widowControl/>
      </w:pPr>
      <w:r>
        <w:rPr>
          <w:b/>
        </w:rPr>
        <w:t xml:space="preserve">EVIDENCE TO SHOW: </w:t>
      </w:r>
      <w:r>
        <w:t>The two average-volume queries side by side, all three document-count queries, their filters and effective identities, and a reconciliation result for a frozen snapshot.</w:t>
      </w:r>
    </w:p>
    <w:p>
      <w:pPr>
        <w:pStyle w:val="Heading2"/>
      </w:pPr>
      <w:r>
        <w:t>Build step 4 Curate the Genie Agent</w:t>
      </w:r>
    </w:p>
    <w:p>
      <w:pPr>
        <w:widowControl/>
      </w:pPr>
      <w:r>
        <w:rPr>
          <w:b/>
        </w:rPr>
        <w:t xml:space="preserve">OPTIONAL SCREEN: </w:t>
      </w:r>
      <w:r>
        <w:t>Genie configuration, Sources, Instructions, and Examples. Then open Benchmark and Monitor. These controls are visible in the screenshot sequence, but their saved configurations and results are not shown.</w:t>
      </w:r>
    </w:p>
    <w:p>
      <w:pPr>
        <w:keepNext/>
        <w:widowControl/>
        <w:spacing w:after="60"/>
      </w:pPr>
      <w:r>
        <w:rPr>
          <w:b/>
        </w:rPr>
        <w:t xml:space="preserve">SAY: </w:t>
      </w:r>
      <w:r/>
    </w:p>
    <w:p>
      <w:pPr>
        <w:widowControl/>
      </w:pPr>
      <w:r>
        <w:t>We configure the Genie Agent around the analytical domain. The source set should contain the objects needed to answer the intended questions, with descriptions that explain the grain and field meanings. We then provide verified examples for the harder questions and concise behavioral instructions for ambiguity and missing information.</w:t>
      </w:r>
    </w:p>
    <w:p>
      <w:pPr>
        <w:widowControl/>
      </w:pPr>
      <w:r>
        <w:t>The questions in the demo are a useful starting set because they exercise several distinct SQL patterns. They include grouping, ranking, date boundaries, ratios, missing measures, and metadata counts. We should use those patterns to build a repeatable quality test, then add paraphrases and cases the examples do not already cover. [S2, W1]</w:t>
      </w:r>
    </w:p>
    <w:p>
      <w:pPr>
        <w:keepNext/>
        <w:widowControl/>
        <w:spacing w:after="60"/>
      </w:pPr>
      <w:r>
        <w:rPr>
          <w:b/>
        </w:rPr>
        <w:t xml:space="preserve">IMPLEMENTATION DETAIL: </w:t>
      </w:r>
      <w:r/>
    </w:p>
    <w:p>
      <w:pPr>
        <w:widowControl/>
      </w:pPr>
      <w:r>
        <w:t>Example curation decisions for this project: define monthly average as the arithmetic average over eligible trading-day closes; define latest relative to an explicit dataset date; separate intraday range from open-to-close change; distinguish a unique document from a chunk; and require the agent to disclose a missing PEG input.</w:t>
      </w:r>
    </w:p>
    <w:p>
      <w:pPr>
        <w:widowControl/>
      </w:pPr>
      <w:r>
        <w:t>A useful benchmark evaluates the returned data as well as the narrative. Match the expected rows, dates, units, and calculations within an appropriate numeric tolerance. Allow equivalent correct SQL instead of demanding a single exact query string. Check that prose does not add causes, current-market claims, or valuation judgments unsupported by the results.</w:t>
      </w:r>
    </w:p>
    <w:p>
      <w:pPr>
        <w:widowControl/>
      </w:pPr>
      <w:r>
        <w:t>Use a held-out set to avoid equating memorized examples with general reliability. Include multi-turn questions where a prior company or date filter should persist, and new-conversation tests where it should not. Monitoring should feed specific failures back into metadata, examples, or definitions rather than creating an ever-growing collection of conflicting instructions.</w:t>
      </w:r>
    </w:p>
    <w:p>
      <w:pPr>
        <w:widowControl/>
      </w:pPr>
      <w:r>
        <w:rPr>
          <w:b/>
        </w:rPr>
        <w:t xml:space="preserve">EVIDENCE TO SHOW: </w:t>
      </w:r>
      <w:r>
        <w:t>The actual source list, metadata, example queries, benchmark version, run result, and one failure that led to a documented correction. No benchmark score is established by the screenshots.</w:t>
      </w:r>
    </w:p>
    <w:p>
      <w:pPr>
        <w:pStyle w:val="Heading2"/>
      </w:pPr>
      <w:r>
        <w:t>Build step 5 Connect analytical and research capabilities</w:t>
      </w:r>
    </w:p>
    <w:p>
      <w:pPr>
        <w:widowControl/>
      </w:pPr>
      <w:r>
        <w:rPr>
          <w:b/>
        </w:rPr>
        <w:t xml:space="preserve">OPTIONAL SCREEN: </w:t>
      </w:r>
      <w:r>
        <w:t>The actual era-supervisor endpoint configuration and registered tools or subagents, followed by a trace for a representative request. Endpoint naming alone does not establish the implementation technology.</w:t>
      </w:r>
    </w:p>
    <w:p>
      <w:pPr>
        <w:keepNext/>
        <w:widowControl/>
        <w:spacing w:after="60"/>
      </w:pPr>
      <w:r>
        <w:rPr>
          <w:b/>
        </w:rPr>
        <w:t xml:space="preserve">SAY: </w:t>
      </w:r>
      <w:r/>
    </w:p>
    <w:p>
      <w:pPr>
        <w:widowControl/>
      </w:pPr>
      <w:r>
        <w:t>The request log gives us the endpoint name era-supervisor. To explain what sits behind it, we should inspect its actual configuration and an execution trace. A suitable design separates structured numerical analysis from document-content retrieval and from current external research, then combines their outputs when a question needs more than one source.</w:t>
      </w:r>
    </w:p>
    <w:p>
      <w:pPr>
        <w:widowControl/>
      </w:pPr>
      <w:r>
        <w:t>For example, a question about average trading volume belongs on a structured analytical path. A question about what management said in a particular earnings call needs document evidence. A question about developments after the local data cutoff needs a fresh external source or an explicit statement that current evidence is unavailable.</w:t>
      </w:r>
    </w:p>
    <w:p>
      <w:pPr>
        <w:keepNext/>
        <w:widowControl/>
        <w:spacing w:after="60"/>
      </w:pPr>
      <w:r>
        <w:rPr>
          <w:b/>
        </w:rPr>
        <w:t xml:space="preserve">IMPLEMENTATION DETAIL: </w:t>
      </w:r>
      <w:r/>
    </w:p>
    <w:p>
      <w:pPr>
        <w:widowControl/>
      </w:pPr>
      <w:r>
        <w:t>Databricks documents supervisor patterns that coordinate Genie, agent endpoints, functions, and other tools. The installed product version and resource type should determine the implementation explanation; the supplied Agent Bricks skill archive is historical guidance, not a deployed configuration export. [S6, W6]</w:t>
      </w:r>
    </w:p>
    <w:p>
      <w:pPr>
        <w:widowControl/>
      </w:pPr>
      <w:r>
        <w:t>For this project's proposed routing contract, return structured numerical results with SQL and date metadata, document results with document IDs and cited passages, and external results with source URLs and retrieval timestamps. The synthesis step must preserve these distinctions. A live news source should not silently overwrite a historical valuation calculation.</w:t>
      </w:r>
    </w:p>
    <w:p>
      <w:pPr>
        <w:widowControl/>
      </w:pPr>
      <w:r>
        <w:t>For a You.com integration, inspect the actual API or MCP adapter, secret or connection binding, and network configuration before naming the mechanism. The recommended adapter validates inputs, sets bounded timeouts, handles rate limits, limits returned material, and records source metadata. Keep credentials in server-side resources. External source text must be treated as evidence, not as authority to issue new instructions or broaden tool privileges.</w:t>
      </w:r>
    </w:p>
    <w:p>
      <w:pPr>
        <w:widowControl/>
      </w:pPr>
      <w:r>
        <w:t>For document retrieval, preserve document and passage references through parsing, chunking, retrieval, and final citation. Test whether a citation actually supports the claim. A document's presence in a volume and a successful retrieval call do not by themselves prove citation fidelity.</w:t>
      </w:r>
    </w:p>
    <w:p>
      <w:pPr>
        <w:widowControl/>
      </w:pPr>
      <w:r>
        <w:rPr>
          <w:b/>
        </w:rPr>
        <w:t xml:space="preserve">EVIDENCE TO SHOW: </w:t>
      </w:r>
      <w:r>
        <w:t>Endpoint resource type, tool registry, actual You.com request, returned sources, and trace spans connecting the call to a user response. Confirm the model and retrieval implementation from configuration, not from product branding.</w:t>
      </w:r>
    </w:p>
    <w:p>
      <w:pPr>
        <w:pStyle w:val="Heading2"/>
      </w:pPr>
      <w:r>
        <w:t>Build step 6 Implement the App request and display paths</w:t>
      </w:r>
    </w:p>
    <w:p>
      <w:pPr>
        <w:widowControl/>
      </w:pPr>
      <w:r>
        <w:rPr>
          <w:b/>
        </w:rPr>
        <w:t xml:space="preserve">OPTIONAL SCREEN: </w:t>
      </w:r>
      <w:r>
        <w:t>The App overview, deployment source, resource bindings, and logs. Then show the actual backend route responsible for a chat request and the route or query responsible for a chart toggle.</w:t>
      </w:r>
    </w:p>
    <w:p>
      <w:pPr>
        <w:keepNext/>
        <w:widowControl/>
        <w:spacing w:after="60"/>
      </w:pPr>
      <w:r>
        <w:rPr>
          <w:b/>
        </w:rPr>
        <w:t xml:space="preserve">SAY: </w:t>
      </w:r>
      <w:r/>
    </w:p>
    <w:p>
      <w:pPr>
        <w:widowControl/>
      </w:pPr>
      <w:r>
        <w:t>The App provides the interaction model around the analytical services. The conversation stays visible on the left, while the right-hand panel lets us choose a graph, direct data exploration, or dashboards. That layout is visible in the screenshots. The implementation needs to preserve the session and return the correct evidence for each interaction.</w:t>
      </w:r>
    </w:p>
    <w:p>
      <w:pPr>
        <w:widowControl/>
      </w:pPr>
      <w:r>
        <w:t>For a chat request, we should retain the conversation identifier, submit the question through the configured backend path, track completion, and return the answer with its supporting metadata. For a known chart toggle, a validated analytical query can often serve the request directly.</w:t>
      </w:r>
    </w:p>
    <w:p>
      <w:pPr>
        <w:keepNext/>
        <w:widowControl/>
        <w:spacing w:after="60"/>
      </w:pPr>
      <w:r>
        <w:rPr>
          <w:b/>
        </w:rPr>
        <w:t xml:space="preserve">IMPLEMENTATION DETAIL: </w:t>
      </w:r>
      <w:r/>
    </w:p>
    <w:p>
      <w:pPr>
        <w:widowControl/>
      </w:pPr>
      <w:r>
        <w:t>The recommended backend should distinguish chat requests, fixed analytical queries, graph payload requests, and document-inventory requests. Apply schema validation at each boundary. Preserve conversation identity per user and session; do not store all users in one shared conversation. Bound result sizes, handle pagination, and avoid sending the complete historical dataset to the browser for every interaction.</w:t>
      </w:r>
    </w:p>
    <w:p>
      <w:pPr>
        <w:widowControl/>
      </w:pPr>
      <w:r>
        <w:t>If a backend operation is asynchronous, preserve its operation ID and poll with bounded backoff until completion or a controlled timeout. Do not create duplicate requests because the browser retries. If streaming is implemented, display only supported progress events and partial content; the screenshots do not prove that streaming exists.</w:t>
      </w:r>
    </w:p>
    <w:p>
      <w:pPr>
        <w:widowControl/>
      </w:pPr>
      <w:r>
        <w:t>Treat returned SQL as text for review. Do not let the browser invoke an unrestricted SQL endpoint merely because the assistant supplied a query string. Actual execution needs the approved analytical path, constrained permissions, and query controls. Escape rendered content and validate links before using externally sourced text in the application.</w:t>
      </w:r>
    </w:p>
    <w:p>
      <w:pPr>
        <w:widowControl/>
      </w:pPr>
      <w:r>
        <w:t>A graph endpoint should return typed nodes and edges with bounded payload sizes. Test graph selections, chart filters, and conversation changes independently. Automatic cross-panel synchronization is a separate feature that needs explicit state management and tests.</w:t>
      </w:r>
    </w:p>
    <w:p>
      <w:pPr>
        <w:widowControl/>
      </w:pPr>
      <w:r>
        <w:rPr>
          <w:b/>
        </w:rPr>
        <w:t xml:space="preserve">EVIDENCE TO SHOW: </w:t>
      </w:r>
      <w:r>
        <w:t>app.yaml or the actual runtime manifest, dependency lockfile, backend resource configuration, session handling, and one request's complete path. Do not assume a framework or database from the UI appearance.</w:t>
      </w:r>
    </w:p>
    <w:p>
      <w:pPr>
        <w:pStyle w:val="Heading2"/>
      </w:pPr>
      <w:r>
        <w:t>Build step 7 Make authorization explicit across every surface</w:t>
      </w:r>
    </w:p>
    <w:p>
      <w:pPr>
        <w:widowControl/>
      </w:pPr>
      <w:r>
        <w:rPr>
          <w:b/>
        </w:rPr>
        <w:t xml:space="preserve">OPTIONAL SCREEN: </w:t>
      </w:r>
      <w:r>
        <w:t>App Authorization and Resources configuration, dashboard publishing options, and relevant endpoint/tool permissions. Repeat one permitted and one prohibited request as a test analyst.</w:t>
      </w:r>
    </w:p>
    <w:p>
      <w:pPr>
        <w:keepNext/>
        <w:widowControl/>
        <w:spacing w:after="60"/>
      </w:pPr>
      <w:r>
        <w:rPr>
          <w:b/>
        </w:rPr>
        <w:t xml:space="preserve">SAY: </w:t>
      </w:r>
      <w:r/>
    </w:p>
    <w:p>
      <w:pPr>
        <w:widowControl/>
      </w:pPr>
      <w:r>
        <w:t>The dashboard, the Genie Agent, and the App have distinct access paths. We need to inspect the effective identity at each boundary. A person being able to open the App does not establish which identity a backend query uses.</w:t>
      </w:r>
    </w:p>
    <w:p>
      <w:pPr>
        <w:widowControl/>
      </w:pPr>
      <w:r>
        <w:t>Databricks Apps supports an app identity and user authorization. App authorization uses the application's dedicated service principal. User authorization allows supported requests to run in the user's context with appropriate scopes. The correct choice depends on whether everyone should see an approved shared dataset or results must respect individual entitlements. [W3]</w:t>
      </w:r>
    </w:p>
    <w:p>
      <w:pPr>
        <w:keepNext/>
        <w:widowControl/>
        <w:spacing w:after="60"/>
      </w:pPr>
      <w:r>
        <w:rPr>
          <w:b/>
        </w:rPr>
        <w:t xml:space="preserve">IMPLEMENTATION DETAIL: </w:t>
      </w:r>
      <w:r/>
    </w:p>
    <w:p>
      <w:pPr>
        <w:widowControl/>
      </w:pPr>
      <w:r>
        <w:t>The screenshots show a dashboard metadata panel stating that it is viewing with the publisher's credentials. That is a meaningful deployment detail: do not claim that this recorded dashboard necessarily enforces each viewer's own data grants. Databricks also supports publishing modes that use individual data permissions. Review the selected mode and audience deliberately. [W4]</w:t>
      </w:r>
    </w:p>
    <w:p>
      <w:pPr>
        <w:widowControl/>
      </w:pPr>
      <w:r>
        <w:t>For the proposed App design, keep shared operational writes separate from user-specific research reads where appropriate. Verify each downstream resource because user authorization at the App boundary does not automatically prove that every agent, retrieval store, and external tool preserves that identity. Read the actual supported authentication mode for each hop.</w:t>
      </w:r>
    </w:p>
    <w:p>
      <w:pPr>
        <w:widowControl/>
      </w:pPr>
      <w:r>
        <w:t>If the app service principal reads a shared curated dataset, make the dataset and app audience intentionally compatible. If access varies by user, use a supported user-context path and test it. Never fall back to broader app privileges merely because a user-context request fails. Cache and logs must preserve the same entitlement boundaries.</w:t>
      </w:r>
    </w:p>
    <w:p>
      <w:pPr>
        <w:widowControl/>
      </w:pPr>
      <w:r>
        <w:rPr>
          <w:b/>
        </w:rPr>
        <w:t xml:space="preserve">EVIDENCE TO SHOW: </w:t>
      </w:r>
      <w:r>
        <w:t>App scopes, grants, backend credential selection, dashboard publishing mode, downstream principal, and denial behavior. Never display credentials during the demonstration.</w:t>
      </w:r>
    </w:p>
    <w:p>
      <w:pPr>
        <w:pStyle w:val="Heading2"/>
      </w:pPr>
      <w:r>
        <w:t>Build step 8 Deploy and operate the complete solution</w:t>
      </w:r>
    </w:p>
    <w:p>
      <w:pPr>
        <w:widowControl/>
      </w:pPr>
      <w:r>
        <w:rPr>
          <w:b/>
        </w:rPr>
        <w:t xml:space="preserve">OPTIONAL SCREEN: </w:t>
      </w:r>
      <w:r>
        <w:t>The actual repository's resource configuration, deployment target, CI result, test results, and a corresponding runtime trace. If those artifacts are unavailable, present this as the recommended release path.</w:t>
      </w:r>
    </w:p>
    <w:p>
      <w:pPr>
        <w:keepNext/>
        <w:widowControl/>
        <w:spacing w:after="60"/>
      </w:pPr>
      <w:r>
        <w:rPr>
          <w:b/>
        </w:rPr>
        <w:t xml:space="preserve">SAY: </w:t>
      </w:r>
      <w:r/>
    </w:p>
    <w:p>
      <w:pPr>
        <w:widowControl/>
      </w:pPr>
      <w:r>
        <w:t>The release unit includes more than application code. It includes the analytical definitions, Genie configuration, resource bindings, permissions, and evaluation expectations. We need to know which versions produced a given answer and which environment received a change.</w:t>
      </w:r>
    </w:p>
    <w:p>
      <w:pPr>
        <w:widowControl/>
      </w:pPr>
      <w:r>
        <w:t>Databricks Declarative Automation Bundles, formerly Asset Bundles, provide a supported way to define and deploy project resources as code. The exact supported resource schemas should be checked against the CLI and workspace version in use. The release should validate the configuration, deploy to a nonproduction target, run data and answer checks, and then promote a reviewed version. [S4, W6]</w:t>
      </w:r>
    </w:p>
    <w:p>
      <w:pPr>
        <w:keepNext/>
        <w:widowControl/>
        <w:spacing w:after="60"/>
      </w:pPr>
      <w:r>
        <w:rPr>
          <w:b/>
        </w:rPr>
        <w:t xml:space="preserve">IMPLEMENTATION DETAIL: </w:t>
      </w:r>
      <w:r/>
    </w:p>
    <w:p>
      <w:pPr>
        <w:widowControl/>
      </w:pPr>
      <w:r>
        <w:t>For this application, a recommended repository separates ingestion, transformations, shared SQL, dashboard definitions, Genie configuration, application code, agent/tool definitions, and evaluations. Environment configuration supplies catalog and schema names, warehouse and endpoint bindings, and non-secret resource references. Keep credentials out of source control and generated front-end bundles.</w:t>
      </w:r>
    </w:p>
    <w:p>
      <w:pPr>
        <w:widowControl/>
      </w:pPr>
      <w:r>
        <w:t>Deploy dependencies in a deliberate order: establish required identities and permissions, publish or refresh the analytical data, validate queries, configure the analytical and research capabilities, bind App resources, deploy the App, and run end-to-end checks. Some resources may require a documented API or Terraform step outside the chosen bundle schema. Do not assume one deployment command covers every resource.</w:t>
      </w:r>
    </w:p>
    <w:p>
      <w:pPr>
        <w:widowControl/>
      </w:pPr>
      <w:r>
        <w:t>Capture the commit, resource versions, data snapshot, benchmark run, and release approval together. A rollback needs compatible application and semantic definitions; reverting only the UI can leave an incompatible query or prompt configuration behind. Data corrections may require a forward repair rather than replaying an old deployment.</w:t>
      </w:r>
    </w:p>
    <w:p>
      <w:pPr>
        <w:widowControl/>
      </w:pPr>
      <w:r>
        <w:t>Use traces to isolate delay across SQL execution, queueing, retrieval, external services, model generation, retries, and rendering. Optimize the measured dominant component. For this small company universe, adding bigger compute without a measured bottleneck is unlikely to be the first justified change. Evaluate both quality and latency after an optimization.</w:t>
      </w:r>
    </w:p>
    <w:p>
      <w:pPr>
        <w:widowControl/>
      </w:pPr>
      <w:r>
        <w:rPr>
          <w:b/>
        </w:rPr>
        <w:t xml:space="preserve">EVIDENCE TO SHOW: </w:t>
      </w:r>
      <w:r>
        <w:t>Actual deployment configuration, CI execution, released version, test artifacts, request trace, and a recovery procedure. The screenshots establish operational cards, not a completed CI/CD implementation.</w:t>
      </w:r>
    </w:p>
    <w:p>
      <w:pPr>
        <w:pStyle w:val="Heading1"/>
        <w:pageBreakBefore/>
      </w:pPr>
      <w:r>
        <w:t>Evaluation and acceptance matrix</w:t>
      </w:r>
    </w:p>
    <w:p>
      <w:pPr>
        <w:widowControl/>
      </w:pPr>
      <w:r>
        <w:t>These are proposed acceptance tests for this solution. No test result or pass rate is claimed.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4162"/>
      </w:tblGrid>
      <w:tr>
        <w:trPr>
          <w:tblHeader/>
          <w:cantSplit/>
        </w:trPr>
        <w:tc>
          <w:tcPr>
            <w:tcW w:type="dxa" w:w="1800"/>
            <w:vAlign w:val="center"/>
            <w:tcMar>
              <w:top w:w="90" w:type="dxa"/>
              <w:bottom w:w="90" w:type="dxa"/>
              <w:left w:w="90" w:type="dxa"/>
              <w:right w:w="90" w:type="dxa"/>
            </w:tcMar>
            <w:shd w:fill="24334B"/>
          </w:tcPr>
          <w:p>
            <w:pPr>
              <w:spacing w:after="40" w:before="40" w:line="252" w:lineRule="auto"/>
            </w:pPr>
            <w:r>
              <w:rPr>
                <w:b/>
                <w:color w:val="FFFFFF"/>
                <w:sz w:val="19"/>
              </w:rPr>
              <w:t>Test</w:t>
            </w:r>
          </w:p>
        </w:tc>
        <w:tc>
          <w:tcPr>
            <w:tcW w:type="dxa" w:w="4032"/>
            <w:vAlign w:val="center"/>
            <w:tcMar>
              <w:top w:w="90" w:type="dxa"/>
              <w:bottom w:w="90" w:type="dxa"/>
              <w:left w:w="90" w:type="dxa"/>
              <w:right w:w="90" w:type="dxa"/>
            </w:tcMar>
            <w:shd w:fill="24334B"/>
          </w:tcPr>
          <w:p>
            <w:pPr>
              <w:spacing w:after="40" w:before="40" w:line="252" w:lineRule="auto"/>
            </w:pPr>
            <w:r>
              <w:rPr>
                <w:b/>
                <w:color w:val="FFFFFF"/>
                <w:sz w:val="19"/>
              </w:rPr>
              <w:t>Evidence to compare</w:t>
            </w:r>
          </w:p>
        </w:tc>
        <w:tc>
          <w:tcPr>
            <w:tcW w:type="dxa" w:w="4162"/>
            <w:vAlign w:val="center"/>
            <w:tcMar>
              <w:top w:w="90" w:type="dxa"/>
              <w:bottom w:w="90" w:type="dxa"/>
              <w:left w:w="90" w:type="dxa"/>
              <w:right w:w="90" w:type="dxa"/>
            </w:tcMar>
            <w:shd w:fill="24334B"/>
          </w:tcPr>
          <w:p>
            <w:pPr>
              <w:spacing w:after="40" w:before="40" w:line="252" w:lineRule="auto"/>
            </w:pPr>
            <w:r>
              <w:rPr>
                <w:b/>
                <w:color w:val="FFFFFF"/>
                <w:sz w:val="19"/>
              </w:rPr>
              <w:t>Acceptance condition</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Cross-surface market cap</w:t>
            </w:r>
          </w:p>
        </w:tc>
        <w:tc>
          <w:tcPr>
            <w:tcW w:type="dxa" w:w="4032"/>
            <w:vAlign w:val="center"/>
            <w:tcMar>
              <w:top w:w="90" w:type="dxa"/>
              <w:bottom w:w="90" w:type="dxa"/>
              <w:left w:w="90" w:type="dxa"/>
              <w:right w:w="90" w:type="dxa"/>
            </w:tcMar>
            <w:shd w:fill="FFFFFF"/>
          </w:tcPr>
          <w:p>
            <w:pPr>
              <w:spacing w:after="40" w:before="40" w:line="252" w:lineRule="auto"/>
            </w:pPr>
            <w:r>
              <w:rPr>
                <w:sz w:val="19"/>
              </w:rPr>
              <w:t>Dashboard, Genie query, App card</w:t>
            </w:r>
          </w:p>
        </w:tc>
        <w:tc>
          <w:tcPr>
            <w:tcW w:type="dxa" w:w="4162"/>
            <w:vAlign w:val="center"/>
            <w:tcMar>
              <w:top w:w="90" w:type="dxa"/>
              <w:bottom w:w="90" w:type="dxa"/>
              <w:left w:w="90" w:type="dxa"/>
              <w:right w:w="90" w:type="dxa"/>
            </w:tcMar>
            <w:shd w:fill="FFFFFF"/>
          </w:tcPr>
          <w:p>
            <w:pPr>
              <w:spacing w:after="40" w:before="40" w:line="252" w:lineRule="auto"/>
            </w:pPr>
            <w:r>
              <w:rPr>
                <w:sz w:val="19"/>
              </w:rPr>
              <w:t>Same value under identical company and date rules</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Average daily volume</w:t>
            </w:r>
          </w:p>
        </w:tc>
        <w:tc>
          <w:tcPr>
            <w:tcW w:type="dxa" w:w="4032"/>
            <w:vAlign w:val="center"/>
            <w:tcMar>
              <w:top w:w="90" w:type="dxa"/>
              <w:bottom w:w="90" w:type="dxa"/>
              <w:left w:w="90" w:type="dxa"/>
              <w:right w:w="90" w:type="dxa"/>
            </w:tcMar>
            <w:shd w:fill="F2F4F6"/>
          </w:tcPr>
          <w:p>
            <w:pPr>
              <w:spacing w:after="40" w:before="40" w:line="252" w:lineRule="auto"/>
            </w:pPr>
            <w:r>
              <w:rPr>
                <w:sz w:val="19"/>
              </w:rPr>
              <w:t>All volume-card SQL and filters</w:t>
            </w:r>
          </w:p>
        </w:tc>
        <w:tc>
          <w:tcPr>
            <w:tcW w:type="dxa" w:w="4162"/>
            <w:vAlign w:val="center"/>
            <w:tcMar>
              <w:top w:w="90" w:type="dxa"/>
              <w:bottom w:w="90" w:type="dxa"/>
              <w:left w:w="90" w:type="dxa"/>
              <w:right w:w="90" w:type="dxa"/>
            </w:tcMar>
            <w:shd w:fill="F2F4F6"/>
          </w:tcPr>
          <w:p>
            <w:pPr>
              <w:spacing w:after="40" w:before="40" w:line="252" w:lineRule="auto"/>
            </w:pPr>
            <w:r>
              <w:rPr>
                <w:sz w:val="19"/>
              </w:rPr>
              <w:t>Same definition or distinctly labeled alternatives</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Document inventory</w:t>
            </w:r>
          </w:p>
        </w:tc>
        <w:tc>
          <w:tcPr>
            <w:tcW w:type="dxa" w:w="4032"/>
            <w:vAlign w:val="center"/>
            <w:tcMar>
              <w:top w:w="90" w:type="dxa"/>
              <w:bottom w:w="90" w:type="dxa"/>
              <w:left w:w="90" w:type="dxa"/>
              <w:right w:w="90" w:type="dxa"/>
            </w:tcMar>
            <w:shd w:fill="FFFFFF"/>
          </w:tcPr>
          <w:p>
            <w:pPr>
              <w:spacing w:after="40" w:before="40" w:line="252" w:lineRule="auto"/>
            </w:pPr>
            <w:r>
              <w:rPr>
                <w:sz w:val="19"/>
              </w:rPr>
              <w:t>Manifest, type totals, company totals</w:t>
            </w:r>
          </w:p>
        </w:tc>
        <w:tc>
          <w:tcPr>
            <w:tcW w:type="dxa" w:w="4162"/>
            <w:vAlign w:val="center"/>
            <w:tcMar>
              <w:top w:w="90" w:type="dxa"/>
              <w:bottom w:w="90" w:type="dxa"/>
              <w:left w:w="90" w:type="dxa"/>
              <w:right w:w="90" w:type="dxa"/>
            </w:tcMar>
            <w:shd w:fill="FFFFFF"/>
          </w:tcPr>
          <w:p>
            <w:pPr>
              <w:spacing w:after="40" w:before="40" w:line="252" w:lineRule="auto"/>
            </w:pPr>
            <w:r>
              <w:rPr>
                <w:sz w:val="19"/>
              </w:rPr>
              <w:t>Reconciled unique IDs and processing stages</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Open versus close spread</w:t>
            </w:r>
          </w:p>
        </w:tc>
        <w:tc>
          <w:tcPr>
            <w:tcW w:type="dxa" w:w="4032"/>
            <w:vAlign w:val="center"/>
            <w:tcMar>
              <w:top w:w="90" w:type="dxa"/>
              <w:bottom w:w="90" w:type="dxa"/>
              <w:left w:w="90" w:type="dxa"/>
              <w:right w:w="90" w:type="dxa"/>
            </w:tcMar>
            <w:shd w:fill="F2F4F6"/>
          </w:tcPr>
          <w:p>
            <w:pPr>
              <w:spacing w:after="40" w:before="40" w:line="252" w:lineRule="auto"/>
            </w:pPr>
            <w:r>
              <w:rPr>
                <w:sz w:val="19"/>
              </w:rPr>
              <w:t>Generated SQL and reference query</w:t>
            </w:r>
          </w:p>
        </w:tc>
        <w:tc>
          <w:tcPr>
            <w:tcW w:type="dxa" w:w="4162"/>
            <w:vAlign w:val="center"/>
            <w:tcMar>
              <w:top w:w="90" w:type="dxa"/>
              <w:bottom w:w="90" w:type="dxa"/>
              <w:left w:w="90" w:type="dxa"/>
              <w:right w:w="90" w:type="dxa"/>
            </w:tcMar>
            <w:shd w:fill="F2F4F6"/>
          </w:tcPr>
          <w:p>
            <w:pPr>
              <w:spacing w:after="40" w:before="40" w:line="252" w:lineRule="auto"/>
            </w:pPr>
            <w:r>
              <w:rPr>
                <w:sz w:val="19"/>
              </w:rPr>
              <w:t>Correct requested formula and date range</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Absolute appreciation</w:t>
            </w:r>
          </w:p>
        </w:tc>
        <w:tc>
          <w:tcPr>
            <w:tcW w:type="dxa" w:w="4032"/>
            <w:vAlign w:val="center"/>
            <w:tcMar>
              <w:top w:w="90" w:type="dxa"/>
              <w:bottom w:w="90" w:type="dxa"/>
              <w:left w:w="90" w:type="dxa"/>
              <w:right w:w="90" w:type="dxa"/>
            </w:tcMar>
            <w:shd w:fill="FFFFFF"/>
          </w:tcPr>
          <w:p>
            <w:pPr>
              <w:spacing w:after="40" w:before="40" w:line="252" w:lineRule="auto"/>
            </w:pPr>
            <w:r>
              <w:rPr>
                <w:sz w:val="19"/>
              </w:rPr>
              <w:t>Boundary prices and ranking</w:t>
            </w:r>
          </w:p>
        </w:tc>
        <w:tc>
          <w:tcPr>
            <w:tcW w:type="dxa" w:w="4162"/>
            <w:vAlign w:val="center"/>
            <w:tcMar>
              <w:top w:w="90" w:type="dxa"/>
              <w:bottom w:w="90" w:type="dxa"/>
              <w:left w:w="90" w:type="dxa"/>
              <w:right w:w="90" w:type="dxa"/>
            </w:tcMar>
            <w:shd w:fill="FFFFFF"/>
          </w:tcPr>
          <w:p>
            <w:pPr>
              <w:spacing w:after="40" w:before="40" w:line="252" w:lineRule="auto"/>
            </w:pPr>
            <w:r>
              <w:rPr>
                <w:sz w:val="19"/>
              </w:rPr>
              <w:t>Consistent comparison period and tie policy</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Monthly averages</w:t>
            </w:r>
          </w:p>
        </w:tc>
        <w:tc>
          <w:tcPr>
            <w:tcW w:type="dxa" w:w="4032"/>
            <w:vAlign w:val="center"/>
            <w:tcMar>
              <w:top w:w="90" w:type="dxa"/>
              <w:bottom w:w="90" w:type="dxa"/>
              <w:left w:w="90" w:type="dxa"/>
              <w:right w:w="90" w:type="dxa"/>
            </w:tcMar>
            <w:shd w:fill="F2F4F6"/>
          </w:tcPr>
          <w:p>
            <w:pPr>
              <w:spacing w:after="40" w:before="40" w:line="252" w:lineRule="auto"/>
            </w:pPr>
            <w:r>
              <w:rPr>
                <w:sz w:val="19"/>
              </w:rPr>
              <w:t>Grouped daily observations</w:t>
            </w:r>
          </w:p>
        </w:tc>
        <w:tc>
          <w:tcPr>
            <w:tcW w:type="dxa" w:w="4162"/>
            <w:vAlign w:val="center"/>
            <w:tcMar>
              <w:top w:w="90" w:type="dxa"/>
              <w:bottom w:w="90" w:type="dxa"/>
              <w:left w:w="90" w:type="dxa"/>
              <w:right w:w="90" w:type="dxa"/>
            </w:tcMar>
            <w:shd w:fill="F2F4F6"/>
          </w:tcPr>
          <w:p>
            <w:pPr>
              <w:spacing w:after="40" w:before="40" w:line="252" w:lineRule="auto"/>
            </w:pPr>
            <w:r>
              <w:rPr>
                <w:sz w:val="19"/>
              </w:rPr>
              <w:t>Correct means with partial-month disclosure</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Positive-day percentage</w:t>
            </w:r>
          </w:p>
        </w:tc>
        <w:tc>
          <w:tcPr>
            <w:tcW w:type="dxa" w:w="4032"/>
            <w:vAlign w:val="center"/>
            <w:tcMar>
              <w:top w:w="90" w:type="dxa"/>
              <w:bottom w:w="90" w:type="dxa"/>
              <w:left w:w="90" w:type="dxa"/>
              <w:right w:w="90" w:type="dxa"/>
            </w:tcMar>
            <w:shd w:fill="FFFFFF"/>
          </w:tcPr>
          <w:p>
            <w:pPr>
              <w:spacing w:after="40" w:before="40" w:line="252" w:lineRule="auto"/>
            </w:pPr>
            <w:r>
              <w:rPr>
                <w:sz w:val="19"/>
              </w:rPr>
              <w:t>Eligible rows and numerator</w:t>
            </w:r>
          </w:p>
        </w:tc>
        <w:tc>
          <w:tcPr>
            <w:tcW w:type="dxa" w:w="4162"/>
            <w:vAlign w:val="center"/>
            <w:tcMar>
              <w:top w:w="90" w:type="dxa"/>
              <w:bottom w:w="90" w:type="dxa"/>
              <w:left w:w="90" w:type="dxa"/>
              <w:right w:w="90" w:type="dxa"/>
            </w:tcMar>
            <w:shd w:fill="FFFFFF"/>
          </w:tcPr>
          <w:p>
            <w:pPr>
              <w:spacing w:after="40" w:before="40" w:line="252" w:lineRule="auto"/>
            </w:pPr>
            <w:r>
              <w:rPr>
                <w:sz w:val="19"/>
              </w:rPr>
              <w:t>Correct denominator, ties, and missing-value behavior</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Volume consistency</w:t>
            </w:r>
          </w:p>
        </w:tc>
        <w:tc>
          <w:tcPr>
            <w:tcW w:type="dxa" w:w="4032"/>
            <w:vAlign w:val="center"/>
            <w:tcMar>
              <w:top w:w="90" w:type="dxa"/>
              <w:bottom w:w="90" w:type="dxa"/>
              <w:left w:w="90" w:type="dxa"/>
              <w:right w:w="90" w:type="dxa"/>
            </w:tcMar>
            <w:shd w:fill="F2F4F6"/>
          </w:tcPr>
          <w:p>
            <w:pPr>
              <w:spacing w:after="40" w:before="40" w:line="252" w:lineRule="auto"/>
            </w:pPr>
            <w:r>
              <w:rPr>
                <w:sz w:val="19"/>
              </w:rPr>
              <w:t>Variance and coefficient of variation</w:t>
            </w:r>
          </w:p>
        </w:tc>
        <w:tc>
          <w:tcPr>
            <w:tcW w:type="dxa" w:w="4162"/>
            <w:vAlign w:val="center"/>
            <w:tcMar>
              <w:top w:w="90" w:type="dxa"/>
              <w:bottom w:w="90" w:type="dxa"/>
              <w:left w:w="90" w:type="dxa"/>
              <w:right w:w="90" w:type="dxa"/>
            </w:tcMar>
            <w:shd w:fill="F2F4F6"/>
          </w:tcPr>
          <w:p>
            <w:pPr>
              <w:spacing w:after="40" w:before="40" w:line="252" w:lineRule="auto"/>
            </w:pPr>
            <w:r>
              <w:rPr>
                <w:sz w:val="19"/>
              </w:rPr>
              <w:t>Requested statistic or explicit clarification</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Missing PEG</w:t>
            </w:r>
          </w:p>
        </w:tc>
        <w:tc>
          <w:tcPr>
            <w:tcW w:type="dxa" w:w="4032"/>
            <w:vAlign w:val="center"/>
            <w:tcMar>
              <w:top w:w="90" w:type="dxa"/>
              <w:bottom w:w="90" w:type="dxa"/>
              <w:left w:w="90" w:type="dxa"/>
              <w:right w:w="90" w:type="dxa"/>
            </w:tcMar>
            <w:shd w:fill="FFFFFF"/>
          </w:tcPr>
          <w:p>
            <w:pPr>
              <w:spacing w:after="40" w:before="40" w:line="252" w:lineRule="auto"/>
            </w:pPr>
            <w:r>
              <w:rPr>
                <w:sz w:val="19"/>
              </w:rPr>
              <w:t>Answer and supporting schema</w:t>
            </w:r>
          </w:p>
        </w:tc>
        <w:tc>
          <w:tcPr>
            <w:tcW w:type="dxa" w:w="4162"/>
            <w:vAlign w:val="center"/>
            <w:tcMar>
              <w:top w:w="90" w:type="dxa"/>
              <w:bottom w:w="90" w:type="dxa"/>
              <w:left w:w="90" w:type="dxa"/>
              <w:right w:w="90" w:type="dxa"/>
            </w:tcMar>
            <w:shd w:fill="FFFFFF"/>
          </w:tcPr>
          <w:p>
            <w:pPr>
              <w:spacing w:after="40" w:before="40" w:line="252" w:lineRule="auto"/>
            </w:pPr>
            <w:r>
              <w:rPr>
                <w:sz w:val="19"/>
              </w:rPr>
              <w:t>No fabricated values; alternative labeled</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Peak close</w:t>
            </w:r>
          </w:p>
        </w:tc>
        <w:tc>
          <w:tcPr>
            <w:tcW w:type="dxa" w:w="4032"/>
            <w:vAlign w:val="center"/>
            <w:tcMar>
              <w:top w:w="90" w:type="dxa"/>
              <w:bottom w:w="90" w:type="dxa"/>
              <w:left w:w="90" w:type="dxa"/>
              <w:right w:w="90" w:type="dxa"/>
            </w:tcMar>
            <w:shd w:fill="F2F4F6"/>
          </w:tcPr>
          <w:p>
            <w:pPr>
              <w:spacing w:after="40" w:before="40" w:line="252" w:lineRule="auto"/>
            </w:pPr>
            <w:r>
              <w:rPr>
                <w:sz w:val="19"/>
              </w:rPr>
              <w:t>Full source records</w:t>
            </w:r>
          </w:p>
        </w:tc>
        <w:tc>
          <w:tcPr>
            <w:tcW w:type="dxa" w:w="4162"/>
            <w:vAlign w:val="center"/>
            <w:tcMar>
              <w:top w:w="90" w:type="dxa"/>
              <w:bottom w:w="90" w:type="dxa"/>
              <w:left w:w="90" w:type="dxa"/>
              <w:right w:w="90" w:type="dxa"/>
            </w:tcMar>
            <w:shd w:fill="F2F4F6"/>
          </w:tcPr>
          <w:p>
            <w:pPr>
              <w:spacing w:after="40" w:before="40" w:line="252" w:lineRule="auto"/>
            </w:pPr>
            <w:r>
              <w:rPr>
                <w:sz w:val="19"/>
              </w:rPr>
              <w:t>Correct closing-price value and associated date</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Document answer</w:t>
            </w:r>
          </w:p>
        </w:tc>
        <w:tc>
          <w:tcPr>
            <w:tcW w:type="dxa" w:w="4032"/>
            <w:vAlign w:val="center"/>
            <w:tcMar>
              <w:top w:w="90" w:type="dxa"/>
              <w:bottom w:w="90" w:type="dxa"/>
              <w:left w:w="90" w:type="dxa"/>
              <w:right w:w="90" w:type="dxa"/>
            </w:tcMar>
            <w:shd w:fill="FFFFFF"/>
          </w:tcPr>
          <w:p>
            <w:pPr>
              <w:spacing w:after="40" w:before="40" w:line="252" w:lineRule="auto"/>
            </w:pPr>
            <w:r>
              <w:rPr>
                <w:sz w:val="19"/>
              </w:rPr>
              <w:t>Retrieved passages and final citations</w:t>
            </w:r>
          </w:p>
        </w:tc>
        <w:tc>
          <w:tcPr>
            <w:tcW w:type="dxa" w:w="4162"/>
            <w:vAlign w:val="center"/>
            <w:tcMar>
              <w:top w:w="90" w:type="dxa"/>
              <w:bottom w:w="90" w:type="dxa"/>
              <w:left w:w="90" w:type="dxa"/>
              <w:right w:w="90" w:type="dxa"/>
            </w:tcMar>
            <w:shd w:fill="FFFFFF"/>
          </w:tcPr>
          <w:p>
            <w:pPr>
              <w:spacing w:after="40" w:before="40" w:line="252" w:lineRule="auto"/>
            </w:pPr>
            <w:r>
              <w:rPr>
                <w:sz w:val="19"/>
              </w:rPr>
              <w:t>Claims supported by the cited source passages</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External research</w:t>
            </w:r>
          </w:p>
        </w:tc>
        <w:tc>
          <w:tcPr>
            <w:tcW w:type="dxa" w:w="4032"/>
            <w:vAlign w:val="center"/>
            <w:tcMar>
              <w:top w:w="90" w:type="dxa"/>
              <w:bottom w:w="90" w:type="dxa"/>
              <w:left w:w="90" w:type="dxa"/>
              <w:right w:w="90" w:type="dxa"/>
            </w:tcMar>
            <w:shd w:fill="F2F4F6"/>
          </w:tcPr>
          <w:p>
            <w:pPr>
              <w:spacing w:after="40" w:before="40" w:line="252" w:lineRule="auto"/>
            </w:pPr>
            <w:r>
              <w:rPr>
                <w:sz w:val="19"/>
              </w:rPr>
              <w:t>Tool trace, URLs, timestamps</w:t>
            </w:r>
          </w:p>
        </w:tc>
        <w:tc>
          <w:tcPr>
            <w:tcW w:type="dxa" w:w="4162"/>
            <w:vAlign w:val="center"/>
            <w:tcMar>
              <w:top w:w="90" w:type="dxa"/>
              <w:bottom w:w="90" w:type="dxa"/>
              <w:left w:w="90" w:type="dxa"/>
              <w:right w:w="90" w:type="dxa"/>
            </w:tcMar>
            <w:shd w:fill="F2F4F6"/>
          </w:tcPr>
          <w:p>
            <w:pPr>
              <w:spacing w:after="40" w:before="40" w:line="252" w:lineRule="auto"/>
            </w:pPr>
            <w:r>
              <w:rPr>
                <w:sz w:val="19"/>
              </w:rPr>
              <w:t>Real tool call and traceable current evidence</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User isolation</w:t>
            </w:r>
          </w:p>
        </w:tc>
        <w:tc>
          <w:tcPr>
            <w:tcW w:type="dxa" w:w="4032"/>
            <w:vAlign w:val="center"/>
            <w:tcMar>
              <w:top w:w="90" w:type="dxa"/>
              <w:bottom w:w="90" w:type="dxa"/>
              <w:left w:w="90" w:type="dxa"/>
              <w:right w:w="90" w:type="dxa"/>
            </w:tcMar>
            <w:shd w:fill="FFFFFF"/>
          </w:tcPr>
          <w:p>
            <w:pPr>
              <w:spacing w:after="40" w:before="40" w:line="252" w:lineRule="auto"/>
            </w:pPr>
            <w:r>
              <w:rPr>
                <w:sz w:val="19"/>
              </w:rPr>
              <w:t>Two test identities and caches</w:t>
            </w:r>
          </w:p>
        </w:tc>
        <w:tc>
          <w:tcPr>
            <w:tcW w:type="dxa" w:w="4162"/>
            <w:vAlign w:val="center"/>
            <w:tcMar>
              <w:top w:w="90" w:type="dxa"/>
              <w:bottom w:w="90" w:type="dxa"/>
              <w:left w:w="90" w:type="dxa"/>
              <w:right w:w="90" w:type="dxa"/>
            </w:tcMar>
            <w:shd w:fill="FFFFFF"/>
          </w:tcPr>
          <w:p>
            <w:pPr>
              <w:spacing w:after="40" w:before="40" w:line="252" w:lineRule="auto"/>
            </w:pPr>
            <w:r>
              <w:rPr>
                <w:sz w:val="19"/>
              </w:rPr>
              <w:t>Prohibited data and conversations remain inaccessible</w:t>
            </w:r>
          </w:p>
        </w:tc>
      </w:tr>
      <w:tr>
        <w:trPr>
          <w:cantSplit/>
        </w:trPr>
        <w:tc>
          <w:tcPr>
            <w:tcW w:type="dxa" w:w="1800"/>
            <w:vAlign w:val="center"/>
            <w:tcMar>
              <w:top w:w="90" w:type="dxa"/>
              <w:bottom w:w="90" w:type="dxa"/>
              <w:left w:w="90" w:type="dxa"/>
              <w:right w:w="90" w:type="dxa"/>
            </w:tcMar>
            <w:shd w:fill="F2F4F6"/>
          </w:tcPr>
          <w:p>
            <w:pPr>
              <w:spacing w:after="40" w:before="40" w:line="252" w:lineRule="auto"/>
            </w:pPr>
            <w:r>
              <w:rPr>
                <w:sz w:val="19"/>
              </w:rPr>
              <w:t>Upstream outage</w:t>
            </w:r>
          </w:p>
        </w:tc>
        <w:tc>
          <w:tcPr>
            <w:tcW w:type="dxa" w:w="4032"/>
            <w:vAlign w:val="center"/>
            <w:tcMar>
              <w:top w:w="90" w:type="dxa"/>
              <w:bottom w:w="90" w:type="dxa"/>
              <w:left w:w="90" w:type="dxa"/>
              <w:right w:w="90" w:type="dxa"/>
            </w:tcMar>
            <w:shd w:fill="F2F4F6"/>
          </w:tcPr>
          <w:p>
            <w:pPr>
              <w:spacing w:after="40" w:before="40" w:line="252" w:lineRule="auto"/>
            </w:pPr>
            <w:r>
              <w:rPr>
                <w:sz w:val="19"/>
              </w:rPr>
              <w:t>Controlled failure</w:t>
            </w:r>
          </w:p>
        </w:tc>
        <w:tc>
          <w:tcPr>
            <w:tcW w:type="dxa" w:w="4162"/>
            <w:vAlign w:val="center"/>
            <w:tcMar>
              <w:top w:w="90" w:type="dxa"/>
              <w:bottom w:w="90" w:type="dxa"/>
              <w:left w:w="90" w:type="dxa"/>
              <w:right w:w="90" w:type="dxa"/>
            </w:tcMar>
            <w:shd w:fill="F2F4F6"/>
          </w:tcPr>
          <w:p>
            <w:pPr>
              <w:spacing w:after="40" w:before="40" w:line="252" w:lineRule="auto"/>
            </w:pPr>
            <w:r>
              <w:rPr>
                <w:sz w:val="19"/>
              </w:rPr>
              <w:t>Clear failure or limited answer without fabricated evidence</w:t>
            </w:r>
          </w:p>
        </w:tc>
      </w:tr>
      <w:tr>
        <w:trPr>
          <w:cantSplit/>
        </w:trPr>
        <w:tc>
          <w:tcPr>
            <w:tcW w:type="dxa" w:w="1800"/>
            <w:vAlign w:val="center"/>
            <w:tcMar>
              <w:top w:w="90" w:type="dxa"/>
              <w:bottom w:w="90" w:type="dxa"/>
              <w:left w:w="90" w:type="dxa"/>
              <w:right w:w="90" w:type="dxa"/>
            </w:tcMar>
            <w:shd w:fill="FFFFFF"/>
          </w:tcPr>
          <w:p>
            <w:pPr>
              <w:spacing w:after="40" w:before="40" w:line="252" w:lineRule="auto"/>
            </w:pPr>
            <w:r>
              <w:rPr>
                <w:sz w:val="19"/>
              </w:rPr>
              <w:t>Deployment regression</w:t>
            </w:r>
          </w:p>
        </w:tc>
        <w:tc>
          <w:tcPr>
            <w:tcW w:type="dxa" w:w="4032"/>
            <w:vAlign w:val="center"/>
            <w:tcMar>
              <w:top w:w="90" w:type="dxa"/>
              <w:bottom w:w="90" w:type="dxa"/>
              <w:left w:w="90" w:type="dxa"/>
              <w:right w:w="90" w:type="dxa"/>
            </w:tcMar>
            <w:shd w:fill="FFFFFF"/>
          </w:tcPr>
          <w:p>
            <w:pPr>
              <w:spacing w:after="40" w:before="40" w:line="252" w:lineRule="auto"/>
            </w:pPr>
            <w:r>
              <w:rPr>
                <w:sz w:val="19"/>
              </w:rPr>
              <w:t>Frozen benchmark and version</w:t>
            </w:r>
          </w:p>
        </w:tc>
        <w:tc>
          <w:tcPr>
            <w:tcW w:type="dxa" w:w="4162"/>
            <w:vAlign w:val="center"/>
            <w:tcMar>
              <w:top w:w="90" w:type="dxa"/>
              <w:bottom w:w="90" w:type="dxa"/>
              <w:left w:w="90" w:type="dxa"/>
              <w:right w:w="90" w:type="dxa"/>
            </w:tcMar>
            <w:shd w:fill="FFFFFF"/>
          </w:tcPr>
          <w:p>
            <w:pPr>
              <w:spacing w:after="40" w:before="40" w:line="252" w:lineRule="auto"/>
            </w:pPr>
            <w:r>
              <w:rPr>
                <w:sz w:val="19"/>
              </w:rPr>
              <w:t>Agreed accuracy and latency gates met before promotion</w:t>
            </w:r>
          </w:p>
        </w:tc>
      </w:tr>
    </w:tbl>
    <w:p>
      <w:pPr>
        <w:pStyle w:val="Heading1"/>
        <w:pageBreakBefore/>
      </w:pPr>
      <w:r>
        <w:t>Likely questions and detailed answers</w:t>
      </w:r>
    </w:p>
    <w:p>
      <w:pPr>
        <w:pStyle w:val="Heading2"/>
      </w:pPr>
      <w:r>
        <w:t>Why use the Dashboard the Genie Agent and the App</w:t>
      </w:r>
    </w:p>
    <w:p>
      <w:pPr>
        <w:widowControl/>
      </w:pPr>
      <w:r>
        <w:rPr>
          <w:b/>
        </w:rPr>
        <w:t xml:space="preserve">SAY: </w:t>
      </w:r>
      <w:r>
        <w:t>Each experience addresses a different point in the workflow. The dashboard gives a repeatable overview for recurring questions. The Genie Agent supports follow-up analysis that was not prearranged as a chart. The App brings the conversation and supporting views together around a specific analyst task. Reusing common data and metric definitions is the engineering requirement that keeps those experiences coherent.</w:t>
      </w:r>
    </w:p>
    <w:p>
      <w:pPr>
        <w:widowControl/>
      </w:pPr>
      <w:r>
        <w:rPr>
          <w:b/>
        </w:rPr>
        <w:t xml:space="preserve">IF PRESSED: </w:t>
      </w:r>
      <w:r>
        <w:t>We should validate shared measures across all three surfaces. The present volume and document-count discrepancies show why common definitions and consistency tests matter. Three attractive interfaces do not by themselves establish a single semantic model.</w:t>
      </w:r>
    </w:p>
    <w:p>
      <w:pPr>
        <w:pStyle w:val="Heading2"/>
      </w:pPr>
      <w:r>
        <w:t>What exactly is implemented with Agent Bricks</w:t>
      </w:r>
    </w:p>
    <w:p>
      <w:pPr>
        <w:widowControl/>
      </w:pPr>
      <w:r>
        <w:rPr>
          <w:b/>
        </w:rPr>
        <w:t xml:space="preserve">SAY: </w:t>
      </w:r>
      <w:r>
        <w:t>The supplied evidence shows a Genie Agent, a Databricks App, and request telemetry for an endpoint named era-supervisor. To identify the precise Agent Bricks resources and tool bindings, we need the deployed configuration or repository. We can describe the intended analytical and research roles, but we should demonstrate the actual routing in a trace before asserting which subagent handled a request.</w:t>
      </w:r>
    </w:p>
    <w:p>
      <w:pPr>
        <w:widowControl/>
      </w:pPr>
      <w:r>
        <w:rPr>
          <w:b/>
        </w:rPr>
        <w:t xml:space="preserve">IF PRESSED: </w:t>
      </w:r>
      <w:r>
        <w:t>The decisive artifact is a representative request with endpoint identity, tool spans, inputs, outputs, and final response. Naming an endpoint supervisor is not enough to distinguish a managed supervisor from custom orchestration.</w:t>
      </w:r>
    </w:p>
    <w:p>
      <w:pPr>
        <w:pStyle w:val="Heading2"/>
      </w:pPr>
      <w:r>
        <w:t>Where does Youcom participate</w:t>
      </w:r>
    </w:p>
    <w:p>
      <w:pPr>
        <w:widowControl/>
      </w:pPr>
      <w:r>
        <w:rPr>
          <w:b/>
        </w:rPr>
        <w:t xml:space="preserve">SAY: </w:t>
      </w:r>
      <w:r>
        <w:t>The demo is branded around You.com and its description mentions external research. This recorded sequence does not expose a verified You.com call. The clearest follow-on demonstration is a question requiring evidence newer than the local market dataset, followed by the actual external-tool call, source URLs, and retrieval timestamps.</w:t>
      </w:r>
    </w:p>
    <w:p>
      <w:pPr>
        <w:widowControl/>
      </w:pPr>
      <w:r>
        <w:rPr>
          <w:b/>
        </w:rPr>
        <w:t xml:space="preserve">IF PRESSED: </w:t>
      </w:r>
      <w:r>
        <w:t>We should not present the model's general knowledge or a cached local record as a live web result. If external retrieval fails, the answer should disclose the missing current evidence and preserve the date boundary of the local analysis.</w:t>
      </w:r>
    </w:p>
    <w:p>
      <w:pPr>
        <w:pStyle w:val="Heading2"/>
      </w:pPr>
      <w:r>
        <w:t>Is the graph GraphRAG</w:t>
      </w:r>
    </w:p>
    <w:p>
      <w:pPr>
        <w:widowControl/>
      </w:pPr>
      <w:r>
        <w:rPr>
          <w:b/>
        </w:rPr>
        <w:t xml:space="preserve">SAY: </w:t>
      </w:r>
      <w:r>
        <w:t>The screenshots establish an interactive relationship visualization. To call the answering architecture GraphRAG, we need evidence that graph relationships are retrieved or traversed and used to ground the response. The graph's appearance alone does not establish that behavior.</w:t>
      </w:r>
    </w:p>
    <w:p>
      <w:pPr>
        <w:widowControl/>
      </w:pPr>
      <w:r>
        <w:rPr>
          <w:b/>
        </w:rPr>
        <w:t xml:space="preserve">IF PRESSED: </w:t>
      </w:r>
      <w:r>
        <w:t>We would inspect the graph schema, edge-generation logic, retrieval operation, and response trace. We would also compare an answer that requires a multi-hop relationship against a known reference result.</w:t>
      </w:r>
    </w:p>
    <w:p>
      <w:pPr>
        <w:pStyle w:val="Heading2"/>
      </w:pPr>
      <w:r>
        <w:t>How do we prevent hallucinations</w:t>
      </w:r>
    </w:p>
    <w:p>
      <w:pPr>
        <w:widowControl/>
      </w:pPr>
      <w:r>
        <w:rPr>
          <w:b/>
        </w:rPr>
        <w:t xml:space="preserve">SAY: </w:t>
      </w:r>
      <w:r>
        <w:t>We reduce unsupported answers by constraining the domain, clarifying metric definitions, inspecting generated queries, testing representative questions, and requiring sources for document or external claims. The missing-PEG case demonstrates the kind of limitation we want surfaced. No screenshot or architectural pattern proves that hallucinations are eliminated.</w:t>
      </w:r>
    </w:p>
    <w:p>
      <w:pPr>
        <w:widowControl/>
      </w:pPr>
      <w:r>
        <w:rPr>
          <w:b/>
        </w:rPr>
        <w:t xml:space="preserve">IF PRESSED: </w:t>
      </w:r>
      <w:r>
        <w:t>Separate arithmetic correctness, semantic correctness, citation support, and narrative restraint in the evaluation. A query can run successfully but use the wrong time interval. A correct number can still be accompanied by an invented causal explanation. Each failure needs its own test.</w:t>
      </w:r>
    </w:p>
    <w:p>
      <w:pPr>
        <w:pStyle w:val="Heading2"/>
      </w:pPr>
      <w:r>
        <w:t>Can the agent execute arbitrary SQL</w:t>
      </w:r>
    </w:p>
    <w:p>
      <w:pPr>
        <w:widowControl/>
      </w:pPr>
      <w:r>
        <w:rPr>
          <w:b/>
        </w:rPr>
        <w:t xml:space="preserve">SAY: </w:t>
      </w:r>
      <w:r>
        <w:t>The App displays SQL, and the exact execution boundary needs configuration review. A production design should use constrained analytical permissions and an approved execution path. Fixed interface controls should call tested queries; natural-language analysis should remain within the authorized domain and resource scope.</w:t>
      </w:r>
    </w:p>
    <w:p>
      <w:pPr>
        <w:widowControl/>
      </w:pPr>
      <w:r>
        <w:rPr>
          <w:b/>
        </w:rPr>
        <w:t xml:space="preserve">IF PRESSED: </w:t>
      </w:r>
      <w:r>
        <w:t>Read-only privileges are a core control, but they do not alone prevent excessive resource use or inappropriate inference from broadly accessible data. Apply least privilege, result limits, timeout policies, and monitoring. Never rely on a regex check of SQL as the sole authorization mechanism.</w:t>
      </w:r>
    </w:p>
    <w:p>
      <w:pPr>
        <w:pStyle w:val="Heading2"/>
      </w:pPr>
      <w:r>
        <w:t>How does Unity Catalog protect a user in the App</w:t>
      </w:r>
    </w:p>
    <w:p>
      <w:pPr>
        <w:widowControl/>
      </w:pPr>
      <w:r>
        <w:rPr>
          <w:b/>
        </w:rPr>
        <w:t xml:space="preserve">SAY: </w:t>
      </w:r>
      <w:r>
        <w:t>Protection depends on the identity used for the data request. If a query runs as the app service principal, that principal's permissions govern the request. If a supported request uses user authorization, the user's context is used. We need to confirm the chosen mode and test it across the entire path, including any downstream agent or retrieval service.</w:t>
      </w:r>
    </w:p>
    <w:p>
      <w:pPr>
        <w:widowControl/>
      </w:pPr>
      <w:r>
        <w:rPr>
          <w:b/>
        </w:rPr>
        <w:t xml:space="preserve">IF PRESSED: </w:t>
      </w:r>
      <w:r>
        <w:t>The recorded dashboard explicitly shows publisher credentials, so we should not claim that every surface uses the viewer's identity. A two-user test with different entitlements is stronger evidence than an administrator's successful demo.</w:t>
      </w:r>
    </w:p>
    <w:p>
      <w:pPr>
        <w:pStyle w:val="Heading2"/>
      </w:pPr>
      <w:r>
        <w:t>Why are the responses taking about a minute</w:t>
      </w:r>
    </w:p>
    <w:p>
      <w:pPr>
        <w:widowControl/>
      </w:pPr>
      <w:r>
        <w:rPr>
          <w:b/>
        </w:rPr>
        <w:t xml:space="preserve">SAY: </w:t>
      </w:r>
      <w:r>
        <w:t>The captured aggregate shows roughly 58 seconds average and 130 seconds at P95, but it does not identify the cause. We need request-level traces and a breakdown by task type before diagnosing the delay. A simple structured question should be measured separately from a multi-source research request.</w:t>
      </w:r>
    </w:p>
    <w:p>
      <w:pPr>
        <w:widowControl/>
      </w:pPr>
      <w:r>
        <w:rPr>
          <w:b/>
        </w:rPr>
        <w:t xml:space="preserve">IF PRESSED: </w:t>
      </w:r>
      <w:r>
        <w:t>Measure queueing, warehouse startup or execution, tool duration, retrieval, generation, retries, and time to first displayed content. Potential changes include removing unnecessary tool calls, reducing result payloads, caching appropriate stable results, or improving query plans. Each change needs a before-and-after test under the same workload.</w:t>
      </w:r>
    </w:p>
    <w:p>
      <w:pPr>
        <w:pStyle w:val="Heading2"/>
      </w:pPr>
      <w:r>
        <w:t>Why do document counts disagree</w:t>
      </w:r>
    </w:p>
    <w:p>
      <w:pPr>
        <w:widowControl/>
      </w:pPr>
      <w:r>
        <w:rPr>
          <w:b/>
        </w:rPr>
        <w:t xml:space="preserve">SAY: </w:t>
      </w:r>
      <w:r>
        <w:t>The recorded views show 634, 303, and 292. We have not established the reason. We should compare the underlying tables, unique keys, filters, authorization context, processing stages, and timestamps. Possible causes such as deduplication or different source coverage are hypotheses until the queries demonstrate them.</w:t>
      </w:r>
    </w:p>
    <w:p>
      <w:pPr>
        <w:widowControl/>
      </w:pPr>
      <w:r>
        <w:rPr>
          <w:b/>
        </w:rPr>
        <w:t xml:space="preserve">IF PRESSED: </w:t>
      </w:r>
      <w:r>
        <w:t>Build a reconciliation output with a frozen manifest snapshot. Compare count of rows, distinct document IDs, unknown company assignments, and totals by document type and company. Then either correct the implementation or label legitimately different scopes clearly.</w:t>
      </w:r>
    </w:p>
    <w:p>
      <w:pPr>
        <w:pStyle w:val="Heading2"/>
      </w:pPr>
      <w:r>
        <w:t>Why are historical valuation lines flat</w:t>
      </w:r>
    </w:p>
    <w:p>
      <w:pPr>
        <w:widowControl/>
      </w:pPr>
      <w:r>
        <w:rPr>
          <w:b/>
        </w:rPr>
        <w:t xml:space="preserve">SAY: </w:t>
      </w:r>
      <w:r>
        <w:t>A flat line can reflect a genuinely constant source field or a snapshot value repeated across dates. The screenshots cannot distinguish those explanations. We need the upstream schema and join logic before calling it historical valuation data.</w:t>
      </w:r>
    </w:p>
    <w:p>
      <w:pPr>
        <w:widowControl/>
      </w:pPr>
      <w:r>
        <w:rPr>
          <w:b/>
        </w:rPr>
        <w:t xml:space="preserve">IF PRESSED: </w:t>
      </w:r>
      <w:r>
        <w:t>For historical research, preserve effective and publication dates and join only information available at the analysis time. If the data is snapshot-only, use a snapshot comparison and avoid implying a historical series that the source does not support.</w:t>
      </w:r>
    </w:p>
    <w:p>
      <w:pPr>
        <w:pStyle w:val="Heading2"/>
      </w:pPr>
      <w:r>
        <w:t>Can we expand beyond seven companies</w:t>
      </w:r>
    </w:p>
    <w:p>
      <w:pPr>
        <w:widowControl/>
      </w:pPr>
      <w:r>
        <w:rPr>
          <w:b/>
        </w:rPr>
        <w:t xml:space="preserve">SAY: </w:t>
      </w:r>
      <w:r>
        <w:t>The reusable parts are the data contract, metric definitions, document manifest, analytical interface, and evaluation method. Expanding the universe adds source coverage, entity resolution, larger retrieval scope, and more diverse questions. We should add companies and sectors in stages and test the assumptions that were easy to overlook in a small curated universe.</w:t>
      </w:r>
    </w:p>
    <w:p>
      <w:pPr>
        <w:widowControl/>
      </w:pPr>
      <w:r>
        <w:rPr>
          <w:b/>
        </w:rPr>
        <w:t xml:space="preserve">IF PRESSED: </w:t>
      </w:r>
      <w:r>
        <w:t>Multiple share classes, currency differences, fiscal calendars, corporate actions, and sparse document coverage can change the meaning of comparisons. Scale the correctness model before making a claim about throughput. The screenshots contain no measured concurrency or large-universe test.</w:t>
      </w:r>
    </w:p>
    <w:p>
      <w:pPr>
        <w:pStyle w:val="Heading2"/>
      </w:pPr>
      <w:r>
        <w:t>What is the business value and how do we measure it</w:t>
      </w:r>
    </w:p>
    <w:p>
      <w:pPr>
        <w:widowControl/>
      </w:pPr>
      <w:r>
        <w:rPr>
          <w:b/>
        </w:rPr>
        <w:t xml:space="preserve">SAY: </w:t>
      </w:r>
      <w:r>
        <w:t>The proposed value is less time spent moving among tools and reconstructing analytical context, with more inspectable answers. The screenshots show the workflow that could deliver that value. They do not establish measured productivity savings.</w:t>
      </w:r>
    </w:p>
    <w:p>
      <w:pPr>
        <w:widowControl/>
      </w:pPr>
      <w:r>
        <w:rPr>
          <w:b/>
        </w:rPr>
        <w:t xml:space="preserve">IF PRESSED: </w:t>
      </w:r>
      <w:r>
        <w:t>Use a fixed set of analyst tasks and compare completion time, answer correctness, number of manual corrections, source-verification effort, and task completion rate. Measure cost per accepted answer as well as raw model or compute spend. A faster unsupported answer is not a successful outcome.</w:t>
      </w:r>
    </w:p>
    <w:p>
      <w:pPr>
        <w:pStyle w:val="Heading1"/>
      </w:pPr>
      <w:r>
        <w:t>Optional proof of integrated research</w:t>
      </w:r>
    </w:p>
    <w:p>
      <w:pPr>
        <w:widowControl/>
      </w:pPr>
      <w:r>
        <w:t>This extension is not present in the supplied 52-page sequence. Add it after Scene 26 only after the external and document tools have been confirmed and rehearsed.</w:t>
      </w:r>
    </w:p>
    <w:p>
      <w:pPr>
        <w:widowControl/>
      </w:pPr>
      <w:r>
        <w:rPr>
          <w:b/>
        </w:rPr>
        <w:t xml:space="preserve">SHOW: </w:t>
      </w:r>
      <w:r>
        <w:t>The App conversation, then an actual trace and citation view for the same request.</w:t>
      </w:r>
    </w:p>
    <w:p>
      <w:pPr>
        <w:widowControl/>
      </w:pPr>
      <w:r>
        <w:rPr>
          <w:b/>
        </w:rPr>
        <w:t xml:space="preserve">PROPOSED PROMPT: </w:t>
      </w:r>
      <w:r>
        <w:t>Using the latest date available in our local dataset, compare NVIDIA and Microsoft on the available valuation measures. Then summarize their most recent available earnings commentary on AI infrastructure demand using the document corpus, and identify relevant developments after the local data cutoff using the configured external research tool. Separate historical calculations from later evidence and cite the sources used.</w:t>
      </w:r>
    </w:p>
    <w:p>
      <w:pPr>
        <w:widowControl/>
      </w:pPr>
      <w:r>
        <w:rPr>
          <w:b/>
        </w:rPr>
        <w:t xml:space="preserve">SAY: </w:t>
      </w:r>
      <w:r>
        <w:t>This question deliberately needs different evidence paths. The numerical comparison should use the governed analytical data and show its as-of date. The earnings commentary should cite the actual document passages. Any later developments should come from a traceable external call with publication and retrieval dates. If one path is unavailable, the answer should say which part remains unsupported.</w:t>
      </w:r>
    </w:p>
    <w:p>
      <w:pPr>
        <w:widowControl/>
      </w:pPr>
      <w:r>
        <w:rPr>
          <w:b/>
        </w:rPr>
        <w:t xml:space="preserve">CHECK WHILE DEMONSTRATING: </w:t>
      </w:r>
      <w:r>
        <w:t>Verify the structured query and selected dates, inspect at least one retrieved passage, open one external source, and connect each to the final response. Confirm that the cited earnings materials exist for the requested companies. Do not assume that the highest-volume date was caused by a particular news item without evidence.</w:t>
      </w:r>
    </w:p>
    <w:p>
      <w:pPr>
        <w:widowControl/>
      </w:pPr>
      <w:r>
        <w:rPr>
          <w:b/>
        </w:rPr>
        <w:t xml:space="preserve">PRESENTER NOTE: </w:t>
      </w:r>
      <w:r>
        <w:t>This is the strongest additional proof point for the integrated research story. Keep it distinct from the capabilities already demonstrated in the screenshots.</w:t>
      </w:r>
    </w:p>
    <w:p>
      <w:pPr>
        <w:pStyle w:val="Heading1"/>
      </w:pPr>
      <w:r>
        <w:t>Shorter delivery and failure recovery</w:t>
      </w:r>
    </w:p>
    <w:p>
      <w:pPr>
        <w:pStyle w:val="Heading2"/>
      </w:pPr>
      <w:r>
        <w:t>Twenty five minute route</w:t>
      </w:r>
    </w:p>
    <w:p>
      <w:pPr>
        <w:widowControl/>
      </w:pPr>
      <w:r>
        <w:t>Spend two minutes opening on page 1. Use five minutes for pages 2–6, emphasizing valuation semantics, the library, and operations. Use eight minutes in Genie with page 7 for spread semantics, pages 10–12 for appreciation and monthly averages, page 22 for the denominator, and pages 28–30 for missing PEG and the peak lookup. Use eight minutes in the App with pages 31–34 for visible SQL, 35–39 for graph tooltips, one or two Data views from 40–47, and Dashboard tabs from 48–52. Close in two minutes. Keep the other scenes available for questions.</w:t>
      </w:r>
    </w:p>
    <w:p>
      <w:pPr>
        <w:pStyle w:val="Heading2"/>
      </w:pPr>
      <w:r>
        <w:t>A live answer takes too long</w:t>
      </w:r>
    </w:p>
    <w:p>
      <w:pPr>
        <w:widowControl/>
      </w:pPr>
      <w:r>
        <w:rPr>
          <w:b/>
        </w:rPr>
        <w:t xml:space="preserve">SAY: </w:t>
      </w:r>
      <w:r>
        <w:t>This request is still processing. We can inspect the recorded result while the live request completes, then compare the time period and calculation when it returns.</w:t>
      </w:r>
    </w:p>
    <w:p>
      <w:pPr>
        <w:widowControl/>
      </w:pPr>
      <w:r>
        <w:rPr>
          <w:b/>
        </w:rPr>
        <w:t xml:space="preserve">ACTION: </w:t>
      </w:r>
      <w:r>
        <w:t>Clearly label the screenshot as a recorded result. Preserve the live request ID. Do not resubmit repeatedly and create duplicate work. If the request fails, identify the failed step from logs or trace rather than attributing it to the model without evidence.</w:t>
      </w:r>
    </w:p>
    <w:p>
      <w:pPr>
        <w:pStyle w:val="Heading2"/>
      </w:pPr>
      <w:r>
        <w:t>An answer differs from the recording</w:t>
      </w:r>
    </w:p>
    <w:p>
      <w:pPr>
        <w:widowControl/>
      </w:pPr>
      <w:r>
        <w:rPr>
          <w:b/>
        </w:rPr>
        <w:t xml:space="preserve">SAY: </w:t>
      </w:r>
      <w:r>
        <w:t>The result differs from the captured example. We will check the selected dates, data refresh, filters, and SQL before interpreting the difference.</w:t>
      </w:r>
    </w:p>
    <w:p>
      <w:pPr>
        <w:widowControl/>
      </w:pPr>
      <w:r>
        <w:rPr>
          <w:b/>
        </w:rPr>
        <w:t xml:space="preserve">ACTION: </w:t>
      </w:r>
      <w:r>
        <w:t>Inspect the actual returned rows and query. A newer dataset or a changed definition may explain the result. If the query is wrong, acknowledge the error and use it as an evaluation case. Do not edit the narrative to preserve the expected conclusion.</w:t>
      </w:r>
    </w:p>
    <w:p>
      <w:pPr>
        <w:pStyle w:val="Heading2"/>
      </w:pPr>
      <w:r>
        <w:t>A source or tool is unavailable</w:t>
      </w:r>
    </w:p>
    <w:p>
      <w:pPr>
        <w:widowControl/>
      </w:pPr>
      <w:r>
        <w:rPr>
          <w:b/>
        </w:rPr>
        <w:t xml:space="preserve">SAY: </w:t>
      </w:r>
      <w:r>
        <w:t>The required source path is unavailable for this request. We can complete the portion supported by the local analytical data and identify the evidence still missing.</w:t>
      </w:r>
    </w:p>
    <w:p>
      <w:pPr>
        <w:widowControl/>
      </w:pPr>
      <w:r>
        <w:rPr>
          <w:b/>
        </w:rPr>
        <w:t xml:space="preserve">ACTION: </w:t>
      </w:r>
      <w:r>
        <w:t>Keep historical and external claims separated. Do not substitute unsourced model knowledge for a missing tool result. Use the verified recorded material only for the capability it actually demonstrates.</w:t>
      </w:r>
    </w:p>
    <w:p>
      <w:pPr>
        <w:pStyle w:val="Heading2"/>
      </w:pPr>
      <w:r>
        <w:t>A stakeholder asks for an unseen implementation detail</w:t>
      </w:r>
    </w:p>
    <w:p>
      <w:pPr>
        <w:widowControl/>
      </w:pPr>
      <w:r>
        <w:rPr>
          <w:b/>
        </w:rPr>
        <w:t xml:space="preserve">SAY: </w:t>
      </w:r>
      <w:r>
        <w:t>The behavior is visible in the demo, but that configuration is not shown in this capture. We should inspect the deployed resource before naming the exact implementation.</w:t>
      </w:r>
    </w:p>
    <w:p>
      <w:pPr>
        <w:widowControl/>
      </w:pPr>
      <w:r>
        <w:rPr>
          <w:b/>
        </w:rPr>
        <w:t xml:space="preserve">ACTION: </w:t>
      </w:r>
      <w:r>
        <w:t>Open the actual resource if prepared, or record the specific artifact needed. Useful evidence includes the application manifest, resource bindings, table definition, agent tool registry, request trace, and deployment configuration.</w:t>
      </w:r>
    </w:p>
    <w:p>
      <w:pPr>
        <w:pStyle w:val="Heading1"/>
      </w:pPr>
      <w:r>
        <w:t>Source page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538"/>
        <w:gridCol w:w="2016"/>
      </w:tblGrid>
      <w:tr>
        <w:trPr>
          <w:tblHeader/>
          <w:cantSplit/>
        </w:trPr>
        <w:tc>
          <w:tcPr>
            <w:tcW w:type="dxa" w:w="1440"/>
            <w:vAlign w:val="center"/>
            <w:tcMar>
              <w:top w:w="70" w:type="dxa"/>
              <w:bottom w:w="70" w:type="dxa"/>
              <w:left w:w="70" w:type="dxa"/>
              <w:right w:w="70" w:type="dxa"/>
            </w:tcMar>
            <w:shd w:fill="24334B"/>
          </w:tcPr>
          <w:p>
            <w:pPr>
              <w:spacing w:after="20" w:before="20" w:line="252" w:lineRule="auto"/>
            </w:pPr>
            <w:r>
              <w:rPr>
                <w:b/>
                <w:color w:val="FFFFFF"/>
                <w:sz w:val="19"/>
              </w:rPr>
              <w:t>Source pages</w:t>
            </w:r>
          </w:p>
        </w:tc>
        <w:tc>
          <w:tcPr>
            <w:tcW w:type="dxa" w:w="6538"/>
            <w:vAlign w:val="center"/>
            <w:tcMar>
              <w:top w:w="70" w:type="dxa"/>
              <w:bottom w:w="70" w:type="dxa"/>
              <w:left w:w="70" w:type="dxa"/>
              <w:right w:w="70" w:type="dxa"/>
            </w:tcMar>
            <w:shd w:fill="24334B"/>
          </w:tcPr>
          <w:p>
            <w:pPr>
              <w:spacing w:after="20" w:before="20" w:line="252" w:lineRule="auto"/>
            </w:pPr>
            <w:r>
              <w:rPr>
                <w:b/>
                <w:color w:val="FFFFFF"/>
                <w:sz w:val="19"/>
              </w:rPr>
              <w:t>View</w:t>
            </w:r>
          </w:p>
        </w:tc>
        <w:tc>
          <w:tcPr>
            <w:tcW w:type="dxa" w:w="2016"/>
            <w:vAlign w:val="center"/>
            <w:tcMar>
              <w:top w:w="70" w:type="dxa"/>
              <w:bottom w:w="70" w:type="dxa"/>
              <w:left w:w="70" w:type="dxa"/>
              <w:right w:w="70" w:type="dxa"/>
            </w:tcMar>
            <w:shd w:fill="24334B"/>
          </w:tcPr>
          <w:p>
            <w:pPr>
              <w:spacing w:after="20" w:before="20" w:line="252" w:lineRule="auto"/>
            </w:pPr>
            <w:r>
              <w:rPr>
                <w:b/>
                <w:color w:val="FFFFFF"/>
                <w:sz w:val="19"/>
              </w:rPr>
              <w:t>Script scene</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1</w:t>
            </w:r>
          </w:p>
        </w:tc>
        <w:tc>
          <w:tcPr>
            <w:tcW w:type="dxa" w:w="6538"/>
            <w:vAlign w:val="center"/>
            <w:tcMar>
              <w:top w:w="70" w:type="dxa"/>
              <w:bottom w:w="70" w:type="dxa"/>
              <w:left w:w="70" w:type="dxa"/>
              <w:right w:w="70" w:type="dxa"/>
            </w:tcMar>
            <w:shd w:fill="FFFFFF"/>
          </w:tcPr>
          <w:p>
            <w:pPr>
              <w:spacing w:after="20" w:before="20" w:line="252" w:lineRule="auto"/>
            </w:pPr>
            <w:r>
              <w:rPr>
                <w:sz w:val="19"/>
              </w:rPr>
              <w:t>Dashboard Market Overview</w:t>
            </w:r>
          </w:p>
        </w:tc>
        <w:tc>
          <w:tcPr>
            <w:tcW w:type="dxa" w:w="2016"/>
            <w:vAlign w:val="center"/>
            <w:tcMar>
              <w:top w:w="70" w:type="dxa"/>
              <w:bottom w:w="70" w:type="dxa"/>
              <w:left w:w="70" w:type="dxa"/>
              <w:right w:w="70" w:type="dxa"/>
            </w:tcMar>
            <w:shd w:fill="FFFFFF"/>
          </w:tcPr>
          <w:p>
            <w:pPr>
              <w:spacing w:after="20" w:before="20" w:line="252" w:lineRule="auto"/>
            </w:pPr>
            <w:r>
              <w:rPr>
                <w:sz w:val="19"/>
              </w:rPr>
              <w:t>1–2</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2–3</w:t>
            </w:r>
          </w:p>
        </w:tc>
        <w:tc>
          <w:tcPr>
            <w:tcW w:type="dxa" w:w="6538"/>
            <w:vAlign w:val="center"/>
            <w:tcMar>
              <w:top w:w="70" w:type="dxa"/>
              <w:bottom w:w="70" w:type="dxa"/>
              <w:left w:w="70" w:type="dxa"/>
              <w:right w:w="70" w:type="dxa"/>
            </w:tcMar>
            <w:shd w:fill="F2F4F6"/>
          </w:tcPr>
          <w:p>
            <w:pPr>
              <w:spacing w:after="20" w:before="20" w:line="252" w:lineRule="auto"/>
            </w:pPr>
            <w:r>
              <w:rPr>
                <w:sz w:val="19"/>
              </w:rPr>
              <w:t>Dashboard Valuation Metrics</w:t>
            </w:r>
          </w:p>
        </w:tc>
        <w:tc>
          <w:tcPr>
            <w:tcW w:type="dxa" w:w="2016"/>
            <w:vAlign w:val="center"/>
            <w:tcMar>
              <w:top w:w="70" w:type="dxa"/>
              <w:bottom w:w="70" w:type="dxa"/>
              <w:left w:w="70" w:type="dxa"/>
              <w:right w:w="70" w:type="dxa"/>
            </w:tcMar>
            <w:shd w:fill="F2F4F6"/>
          </w:tcPr>
          <w:p>
            <w:pPr>
              <w:spacing w:after="20" w:before="20" w:line="252" w:lineRule="auto"/>
            </w:pPr>
            <w:r>
              <w:rPr>
                <w:sz w:val="19"/>
              </w:rPr>
              <w:t>3</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4</w:t>
            </w:r>
          </w:p>
        </w:tc>
        <w:tc>
          <w:tcPr>
            <w:tcW w:type="dxa" w:w="6538"/>
            <w:vAlign w:val="center"/>
            <w:tcMar>
              <w:top w:w="70" w:type="dxa"/>
              <w:bottom w:w="70" w:type="dxa"/>
              <w:left w:w="70" w:type="dxa"/>
              <w:right w:w="70" w:type="dxa"/>
            </w:tcMar>
            <w:shd w:fill="FFFFFF"/>
          </w:tcPr>
          <w:p>
            <w:pPr>
              <w:spacing w:after="20" w:before="20" w:line="252" w:lineRule="auto"/>
            </w:pPr>
            <w:r>
              <w:rPr>
                <w:sz w:val="19"/>
              </w:rPr>
              <w:t>Dashboard Research Library</w:t>
            </w:r>
          </w:p>
        </w:tc>
        <w:tc>
          <w:tcPr>
            <w:tcW w:type="dxa" w:w="2016"/>
            <w:vAlign w:val="center"/>
            <w:tcMar>
              <w:top w:w="70" w:type="dxa"/>
              <w:bottom w:w="70" w:type="dxa"/>
              <w:left w:w="70" w:type="dxa"/>
              <w:right w:w="70" w:type="dxa"/>
            </w:tcMar>
            <w:shd w:fill="FFFFFF"/>
          </w:tcPr>
          <w:p>
            <w:pPr>
              <w:spacing w:after="20" w:before="20" w:line="252" w:lineRule="auto"/>
            </w:pPr>
            <w:r>
              <w:rPr>
                <w:sz w:val="19"/>
              </w:rPr>
              <w:t>4</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5–6</w:t>
            </w:r>
          </w:p>
        </w:tc>
        <w:tc>
          <w:tcPr>
            <w:tcW w:type="dxa" w:w="6538"/>
            <w:vAlign w:val="center"/>
            <w:tcMar>
              <w:top w:w="70" w:type="dxa"/>
              <w:bottom w:w="70" w:type="dxa"/>
              <w:left w:w="70" w:type="dxa"/>
              <w:right w:w="70" w:type="dxa"/>
            </w:tcMar>
            <w:shd w:fill="F2F4F6"/>
          </w:tcPr>
          <w:p>
            <w:pPr>
              <w:spacing w:after="20" w:before="20" w:line="252" w:lineRule="auto"/>
            </w:pPr>
            <w:r>
              <w:rPr>
                <w:sz w:val="19"/>
              </w:rPr>
              <w:t>Dashboard Agent Operations</w:t>
            </w:r>
          </w:p>
        </w:tc>
        <w:tc>
          <w:tcPr>
            <w:tcW w:type="dxa" w:w="2016"/>
            <w:vAlign w:val="center"/>
            <w:tcMar>
              <w:top w:w="70" w:type="dxa"/>
              <w:bottom w:w="70" w:type="dxa"/>
              <w:left w:w="70" w:type="dxa"/>
              <w:right w:w="70" w:type="dxa"/>
            </w:tcMar>
            <w:shd w:fill="F2F4F6"/>
          </w:tcPr>
          <w:p>
            <w:pPr>
              <w:spacing w:after="20" w:before="20" w:line="252" w:lineRule="auto"/>
            </w:pPr>
            <w:r>
              <w:rPr>
                <w:sz w:val="19"/>
              </w:rPr>
              <w:t>5</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7</w:t>
            </w:r>
          </w:p>
        </w:tc>
        <w:tc>
          <w:tcPr>
            <w:tcW w:type="dxa" w:w="6538"/>
            <w:vAlign w:val="center"/>
            <w:tcMar>
              <w:top w:w="70" w:type="dxa"/>
              <w:bottom w:w="70" w:type="dxa"/>
              <w:left w:w="70" w:type="dxa"/>
              <w:right w:w="70" w:type="dxa"/>
            </w:tcMar>
            <w:shd w:fill="FFFFFF"/>
          </w:tcPr>
          <w:p>
            <w:pPr>
              <w:spacing w:after="20" w:before="20" w:line="252" w:lineRule="auto"/>
            </w:pPr>
            <w:r>
              <w:rPr>
                <w:sz w:val="19"/>
              </w:rPr>
              <w:t>Genie scope and price spread</w:t>
            </w:r>
          </w:p>
        </w:tc>
        <w:tc>
          <w:tcPr>
            <w:tcW w:type="dxa" w:w="2016"/>
            <w:vAlign w:val="center"/>
            <w:tcMar>
              <w:top w:w="70" w:type="dxa"/>
              <w:bottom w:w="70" w:type="dxa"/>
              <w:left w:w="70" w:type="dxa"/>
              <w:right w:w="70" w:type="dxa"/>
            </w:tcMar>
            <w:shd w:fill="FFFFFF"/>
          </w:tcPr>
          <w:p>
            <w:pPr>
              <w:spacing w:after="20" w:before="20" w:line="252" w:lineRule="auto"/>
            </w:pPr>
            <w:r>
              <w:rPr>
                <w:sz w:val="19"/>
              </w:rPr>
              <w:t>6–7</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8–9</w:t>
            </w:r>
          </w:p>
        </w:tc>
        <w:tc>
          <w:tcPr>
            <w:tcW w:type="dxa" w:w="6538"/>
            <w:vAlign w:val="center"/>
            <w:tcMar>
              <w:top w:w="70" w:type="dxa"/>
              <w:bottom w:w="70" w:type="dxa"/>
              <w:left w:w="70" w:type="dxa"/>
              <w:right w:w="70" w:type="dxa"/>
            </w:tcMar>
            <w:shd w:fill="F2F4F6"/>
          </w:tcPr>
          <w:p>
            <w:pPr>
              <w:spacing w:after="20" w:before="20" w:line="252" w:lineRule="auto"/>
            </w:pPr>
            <w:r>
              <w:rPr>
                <w:sz w:val="19"/>
              </w:rPr>
              <w:t>Genie market cap and EV EBITDA</w:t>
            </w:r>
          </w:p>
        </w:tc>
        <w:tc>
          <w:tcPr>
            <w:tcW w:type="dxa" w:w="2016"/>
            <w:vAlign w:val="center"/>
            <w:tcMar>
              <w:top w:w="70" w:type="dxa"/>
              <w:bottom w:w="70" w:type="dxa"/>
              <w:left w:w="70" w:type="dxa"/>
              <w:right w:w="70" w:type="dxa"/>
            </w:tcMar>
            <w:shd w:fill="F2F4F6"/>
          </w:tcPr>
          <w:p>
            <w:pPr>
              <w:spacing w:after="20" w:before="20" w:line="252" w:lineRule="auto"/>
            </w:pPr>
            <w:r>
              <w:rPr>
                <w:sz w:val="19"/>
              </w:rPr>
              <w:t>8</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10–11</w:t>
            </w:r>
          </w:p>
        </w:tc>
        <w:tc>
          <w:tcPr>
            <w:tcW w:type="dxa" w:w="6538"/>
            <w:vAlign w:val="center"/>
            <w:tcMar>
              <w:top w:w="70" w:type="dxa"/>
              <w:bottom w:w="70" w:type="dxa"/>
              <w:left w:w="70" w:type="dxa"/>
              <w:right w:w="70" w:type="dxa"/>
            </w:tcMar>
            <w:shd w:fill="FFFFFF"/>
          </w:tcPr>
          <w:p>
            <w:pPr>
              <w:spacing w:after="20" w:before="20" w:line="252" w:lineRule="auto"/>
            </w:pPr>
            <w:r>
              <w:rPr>
                <w:sz w:val="19"/>
              </w:rPr>
              <w:t>Genie absolute appreciation</w:t>
            </w:r>
          </w:p>
        </w:tc>
        <w:tc>
          <w:tcPr>
            <w:tcW w:type="dxa" w:w="2016"/>
            <w:vAlign w:val="center"/>
            <w:tcMar>
              <w:top w:w="70" w:type="dxa"/>
              <w:bottom w:w="70" w:type="dxa"/>
              <w:left w:w="70" w:type="dxa"/>
              <w:right w:w="70" w:type="dxa"/>
            </w:tcMar>
            <w:shd w:fill="FFFFFF"/>
          </w:tcPr>
          <w:p>
            <w:pPr>
              <w:spacing w:after="20" w:before="20" w:line="252" w:lineRule="auto"/>
            </w:pPr>
            <w:r>
              <w:rPr>
                <w:sz w:val="19"/>
              </w:rPr>
              <w:t>9</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11–14</w:t>
            </w:r>
          </w:p>
        </w:tc>
        <w:tc>
          <w:tcPr>
            <w:tcW w:type="dxa" w:w="6538"/>
            <w:vAlign w:val="center"/>
            <w:tcMar>
              <w:top w:w="70" w:type="dxa"/>
              <w:bottom w:w="70" w:type="dxa"/>
              <w:left w:w="70" w:type="dxa"/>
              <w:right w:w="70" w:type="dxa"/>
            </w:tcMar>
            <w:shd w:fill="F2F4F6"/>
          </w:tcPr>
          <w:p>
            <w:pPr>
              <w:spacing w:after="20" w:before="20" w:line="252" w:lineRule="auto"/>
            </w:pPr>
            <w:r>
              <w:rPr>
                <w:sz w:val="19"/>
              </w:rPr>
              <w:t>Genie monthly GOOGL trend</w:t>
            </w:r>
          </w:p>
        </w:tc>
        <w:tc>
          <w:tcPr>
            <w:tcW w:type="dxa" w:w="2016"/>
            <w:vAlign w:val="center"/>
            <w:tcMar>
              <w:top w:w="70" w:type="dxa"/>
              <w:bottom w:w="70" w:type="dxa"/>
              <w:left w:w="70" w:type="dxa"/>
              <w:right w:w="70" w:type="dxa"/>
            </w:tcMar>
            <w:shd w:fill="F2F4F6"/>
          </w:tcPr>
          <w:p>
            <w:pPr>
              <w:spacing w:after="20" w:before="20" w:line="252" w:lineRule="auto"/>
            </w:pPr>
            <w:r>
              <w:rPr>
                <w:sz w:val="19"/>
              </w:rPr>
              <w:t>10</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14–17</w:t>
            </w:r>
          </w:p>
        </w:tc>
        <w:tc>
          <w:tcPr>
            <w:tcW w:type="dxa" w:w="6538"/>
            <w:vAlign w:val="center"/>
            <w:tcMar>
              <w:top w:w="70" w:type="dxa"/>
              <w:bottom w:w="70" w:type="dxa"/>
              <w:left w:w="70" w:type="dxa"/>
              <w:right w:w="70" w:type="dxa"/>
            </w:tcMar>
            <w:shd w:fill="FFFFFF"/>
          </w:tcPr>
          <w:p>
            <w:pPr>
              <w:spacing w:after="20" w:before="20" w:line="252" w:lineRule="auto"/>
            </w:pPr>
            <w:r>
              <w:rPr>
                <w:sz w:val="19"/>
              </w:rPr>
              <w:t>Genie filing types</w:t>
            </w:r>
          </w:p>
        </w:tc>
        <w:tc>
          <w:tcPr>
            <w:tcW w:type="dxa" w:w="2016"/>
            <w:vAlign w:val="center"/>
            <w:tcMar>
              <w:top w:w="70" w:type="dxa"/>
              <w:bottom w:w="70" w:type="dxa"/>
              <w:left w:w="70" w:type="dxa"/>
              <w:right w:w="70" w:type="dxa"/>
            </w:tcMar>
            <w:shd w:fill="FFFFFF"/>
          </w:tcPr>
          <w:p>
            <w:pPr>
              <w:spacing w:after="20" w:before="20" w:line="252" w:lineRule="auto"/>
            </w:pPr>
            <w:r>
              <w:rPr>
                <w:sz w:val="19"/>
              </w:rPr>
              <w:t>11</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17–20</w:t>
            </w:r>
          </w:p>
        </w:tc>
        <w:tc>
          <w:tcPr>
            <w:tcW w:type="dxa" w:w="6538"/>
            <w:vAlign w:val="center"/>
            <w:tcMar>
              <w:top w:w="70" w:type="dxa"/>
              <w:bottom w:w="70" w:type="dxa"/>
              <w:left w:w="70" w:type="dxa"/>
              <w:right w:w="70" w:type="dxa"/>
            </w:tcMar>
            <w:shd w:fill="F2F4F6"/>
          </w:tcPr>
          <w:p>
            <w:pPr>
              <w:spacing w:after="20" w:before="20" w:line="252" w:lineRule="auto"/>
            </w:pPr>
            <w:r>
              <w:rPr>
                <w:sz w:val="19"/>
              </w:rPr>
              <w:t>Genie coverage by company</w:t>
            </w:r>
          </w:p>
        </w:tc>
        <w:tc>
          <w:tcPr>
            <w:tcW w:type="dxa" w:w="2016"/>
            <w:vAlign w:val="center"/>
            <w:tcMar>
              <w:top w:w="70" w:type="dxa"/>
              <w:bottom w:w="70" w:type="dxa"/>
              <w:left w:w="70" w:type="dxa"/>
              <w:right w:w="70" w:type="dxa"/>
            </w:tcMar>
            <w:shd w:fill="F2F4F6"/>
          </w:tcPr>
          <w:p>
            <w:pPr>
              <w:spacing w:after="20" w:before="20" w:line="252" w:lineRule="auto"/>
            </w:pPr>
            <w:r>
              <w:rPr>
                <w:sz w:val="19"/>
              </w:rPr>
              <w:t>12</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20–21</w:t>
            </w:r>
          </w:p>
        </w:tc>
        <w:tc>
          <w:tcPr>
            <w:tcW w:type="dxa" w:w="6538"/>
            <w:vAlign w:val="center"/>
            <w:tcMar>
              <w:top w:w="70" w:type="dxa"/>
              <w:bottom w:w="70" w:type="dxa"/>
              <w:left w:w="70" w:type="dxa"/>
              <w:right w:w="70" w:type="dxa"/>
            </w:tcMar>
            <w:shd w:fill="FFFFFF"/>
          </w:tcPr>
          <w:p>
            <w:pPr>
              <w:spacing w:after="20" w:before="20" w:line="252" w:lineRule="auto"/>
            </w:pPr>
            <w:r>
              <w:rPr>
                <w:sz w:val="19"/>
              </w:rPr>
              <w:t>Genie top volume days</w:t>
            </w:r>
          </w:p>
        </w:tc>
        <w:tc>
          <w:tcPr>
            <w:tcW w:type="dxa" w:w="2016"/>
            <w:vAlign w:val="center"/>
            <w:tcMar>
              <w:top w:w="70" w:type="dxa"/>
              <w:bottom w:w="70" w:type="dxa"/>
              <w:left w:w="70" w:type="dxa"/>
              <w:right w:w="70" w:type="dxa"/>
            </w:tcMar>
            <w:shd w:fill="FFFFFF"/>
          </w:tcPr>
          <w:p>
            <w:pPr>
              <w:spacing w:after="20" w:before="20" w:line="252" w:lineRule="auto"/>
            </w:pPr>
            <w:r>
              <w:rPr>
                <w:sz w:val="19"/>
              </w:rPr>
              <w:t>13</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22</w:t>
            </w:r>
          </w:p>
        </w:tc>
        <w:tc>
          <w:tcPr>
            <w:tcW w:type="dxa" w:w="6538"/>
            <w:vAlign w:val="center"/>
            <w:tcMar>
              <w:top w:w="70" w:type="dxa"/>
              <w:bottom w:w="70" w:type="dxa"/>
              <w:left w:w="70" w:type="dxa"/>
              <w:right w:w="70" w:type="dxa"/>
            </w:tcMar>
            <w:shd w:fill="F2F4F6"/>
          </w:tcPr>
          <w:p>
            <w:pPr>
              <w:spacing w:after="20" w:before="20" w:line="252" w:lineRule="auto"/>
            </w:pPr>
            <w:r>
              <w:rPr>
                <w:sz w:val="19"/>
              </w:rPr>
              <w:t>Genie positive trading days</w:t>
            </w:r>
          </w:p>
        </w:tc>
        <w:tc>
          <w:tcPr>
            <w:tcW w:type="dxa" w:w="2016"/>
            <w:vAlign w:val="center"/>
            <w:tcMar>
              <w:top w:w="70" w:type="dxa"/>
              <w:bottom w:w="70" w:type="dxa"/>
              <w:left w:w="70" w:type="dxa"/>
              <w:right w:w="70" w:type="dxa"/>
            </w:tcMar>
            <w:shd w:fill="F2F4F6"/>
          </w:tcPr>
          <w:p>
            <w:pPr>
              <w:spacing w:after="20" w:before="20" w:line="252" w:lineRule="auto"/>
            </w:pPr>
            <w:r>
              <w:rPr>
                <w:sz w:val="19"/>
              </w:rPr>
              <w:t>14</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22–25</w:t>
            </w:r>
          </w:p>
        </w:tc>
        <w:tc>
          <w:tcPr>
            <w:tcW w:type="dxa" w:w="6538"/>
            <w:vAlign w:val="center"/>
            <w:tcMar>
              <w:top w:w="70" w:type="dxa"/>
              <w:bottom w:w="70" w:type="dxa"/>
              <w:left w:w="70" w:type="dxa"/>
              <w:right w:w="70" w:type="dxa"/>
            </w:tcMar>
            <w:shd w:fill="FFFFFF"/>
          </w:tcPr>
          <w:p>
            <w:pPr>
              <w:spacing w:after="20" w:before="20" w:line="252" w:lineRule="auto"/>
            </w:pPr>
            <w:r>
              <w:rPr>
                <w:sz w:val="19"/>
              </w:rPr>
              <w:t>Genie weekly prices</w:t>
            </w:r>
          </w:p>
        </w:tc>
        <w:tc>
          <w:tcPr>
            <w:tcW w:type="dxa" w:w="2016"/>
            <w:vAlign w:val="center"/>
            <w:tcMar>
              <w:top w:w="70" w:type="dxa"/>
              <w:bottom w:w="70" w:type="dxa"/>
              <w:left w:w="70" w:type="dxa"/>
              <w:right w:w="70" w:type="dxa"/>
            </w:tcMar>
            <w:shd w:fill="FFFFFF"/>
          </w:tcPr>
          <w:p>
            <w:pPr>
              <w:spacing w:after="20" w:before="20" w:line="252" w:lineRule="auto"/>
            </w:pPr>
            <w:r>
              <w:rPr>
                <w:sz w:val="19"/>
              </w:rPr>
              <w:t>15</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25–27</w:t>
            </w:r>
          </w:p>
        </w:tc>
        <w:tc>
          <w:tcPr>
            <w:tcW w:type="dxa" w:w="6538"/>
            <w:vAlign w:val="center"/>
            <w:tcMar>
              <w:top w:w="70" w:type="dxa"/>
              <w:bottom w:w="70" w:type="dxa"/>
              <w:left w:w="70" w:type="dxa"/>
              <w:right w:w="70" w:type="dxa"/>
            </w:tcMar>
            <w:shd w:fill="F2F4F6"/>
          </w:tcPr>
          <w:p>
            <w:pPr>
              <w:spacing w:after="20" w:before="20" w:line="252" w:lineRule="auto"/>
            </w:pPr>
            <w:r>
              <w:rPr>
                <w:sz w:val="19"/>
              </w:rPr>
              <w:t>Genie volume consistency</w:t>
            </w:r>
          </w:p>
        </w:tc>
        <w:tc>
          <w:tcPr>
            <w:tcW w:type="dxa" w:w="2016"/>
            <w:vAlign w:val="center"/>
            <w:tcMar>
              <w:top w:w="70" w:type="dxa"/>
              <w:bottom w:w="70" w:type="dxa"/>
              <w:left w:w="70" w:type="dxa"/>
              <w:right w:w="70" w:type="dxa"/>
            </w:tcMar>
            <w:shd w:fill="F2F4F6"/>
          </w:tcPr>
          <w:p>
            <w:pPr>
              <w:spacing w:after="20" w:before="20" w:line="252" w:lineRule="auto"/>
            </w:pPr>
            <w:r>
              <w:rPr>
                <w:sz w:val="19"/>
              </w:rPr>
              <w:t>16</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28–30</w:t>
            </w:r>
          </w:p>
        </w:tc>
        <w:tc>
          <w:tcPr>
            <w:tcW w:type="dxa" w:w="6538"/>
            <w:vAlign w:val="center"/>
            <w:tcMar>
              <w:top w:w="70" w:type="dxa"/>
              <w:bottom w:w="70" w:type="dxa"/>
              <w:left w:w="70" w:type="dxa"/>
              <w:right w:w="70" w:type="dxa"/>
            </w:tcMar>
            <w:shd w:fill="FFFFFF"/>
          </w:tcPr>
          <w:p>
            <w:pPr>
              <w:spacing w:after="20" w:before="20" w:line="252" w:lineRule="auto"/>
            </w:pPr>
            <w:r>
              <w:rPr>
                <w:sz w:val="19"/>
              </w:rPr>
              <w:t>Genie missing PEG and P E alternative</w:t>
            </w:r>
          </w:p>
        </w:tc>
        <w:tc>
          <w:tcPr>
            <w:tcW w:type="dxa" w:w="2016"/>
            <w:vAlign w:val="center"/>
            <w:tcMar>
              <w:top w:w="70" w:type="dxa"/>
              <w:bottom w:w="70" w:type="dxa"/>
              <w:left w:w="70" w:type="dxa"/>
              <w:right w:w="70" w:type="dxa"/>
            </w:tcMar>
            <w:shd w:fill="FFFFFF"/>
          </w:tcPr>
          <w:p>
            <w:pPr>
              <w:spacing w:after="20" w:before="20" w:line="252" w:lineRule="auto"/>
            </w:pPr>
            <w:r>
              <w:rPr>
                <w:sz w:val="19"/>
              </w:rPr>
              <w:t>17</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30</w:t>
            </w:r>
          </w:p>
        </w:tc>
        <w:tc>
          <w:tcPr>
            <w:tcW w:type="dxa" w:w="6538"/>
            <w:vAlign w:val="center"/>
            <w:tcMar>
              <w:top w:w="70" w:type="dxa"/>
              <w:bottom w:w="70" w:type="dxa"/>
              <w:left w:w="70" w:type="dxa"/>
              <w:right w:w="70" w:type="dxa"/>
            </w:tcMar>
            <w:shd w:fill="F2F4F6"/>
          </w:tcPr>
          <w:p>
            <w:pPr>
              <w:spacing w:after="20" w:before="20" w:line="252" w:lineRule="auto"/>
            </w:pPr>
            <w:r>
              <w:rPr>
                <w:sz w:val="19"/>
              </w:rPr>
              <w:t>Genie NVDA peak close</w:t>
            </w:r>
          </w:p>
        </w:tc>
        <w:tc>
          <w:tcPr>
            <w:tcW w:type="dxa" w:w="2016"/>
            <w:vAlign w:val="center"/>
            <w:tcMar>
              <w:top w:w="70" w:type="dxa"/>
              <w:bottom w:w="70" w:type="dxa"/>
              <w:left w:w="70" w:type="dxa"/>
              <w:right w:w="70" w:type="dxa"/>
            </w:tcMar>
            <w:shd w:fill="F2F4F6"/>
          </w:tcPr>
          <w:p>
            <w:pPr>
              <w:spacing w:after="20" w:before="20" w:line="252" w:lineRule="auto"/>
            </w:pPr>
            <w:r>
              <w:rPr>
                <w:sz w:val="19"/>
              </w:rPr>
              <w:t>18</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31</w:t>
            </w:r>
          </w:p>
        </w:tc>
        <w:tc>
          <w:tcPr>
            <w:tcW w:type="dxa" w:w="6538"/>
            <w:vAlign w:val="center"/>
            <w:tcMar>
              <w:top w:w="70" w:type="dxa"/>
              <w:bottom w:w="70" w:type="dxa"/>
              <w:left w:w="70" w:type="dxa"/>
              <w:right w:w="70" w:type="dxa"/>
            </w:tcMar>
            <w:shd w:fill="FFFFFF"/>
          </w:tcPr>
          <w:p>
            <w:pPr>
              <w:spacing w:after="20" w:before="20" w:line="252" w:lineRule="auto"/>
            </w:pPr>
            <w:r>
              <w:rPr>
                <w:sz w:val="19"/>
              </w:rPr>
              <w:t>App opening conversation</w:t>
            </w:r>
          </w:p>
        </w:tc>
        <w:tc>
          <w:tcPr>
            <w:tcW w:type="dxa" w:w="2016"/>
            <w:vAlign w:val="center"/>
            <w:tcMar>
              <w:top w:w="70" w:type="dxa"/>
              <w:bottom w:w="70" w:type="dxa"/>
              <w:left w:w="70" w:type="dxa"/>
              <w:right w:w="70" w:type="dxa"/>
            </w:tcMar>
            <w:shd w:fill="FFFFFF"/>
          </w:tcPr>
          <w:p>
            <w:pPr>
              <w:spacing w:after="20" w:before="20" w:line="252" w:lineRule="auto"/>
            </w:pPr>
            <w:r>
              <w:rPr>
                <w:sz w:val="19"/>
              </w:rPr>
              <w:t>19</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32</w:t>
            </w:r>
          </w:p>
        </w:tc>
        <w:tc>
          <w:tcPr>
            <w:tcW w:type="dxa" w:w="6538"/>
            <w:vAlign w:val="center"/>
            <w:tcMar>
              <w:top w:w="70" w:type="dxa"/>
              <w:bottom w:w="70" w:type="dxa"/>
              <w:left w:w="70" w:type="dxa"/>
              <w:right w:w="70" w:type="dxa"/>
            </w:tcMar>
            <w:shd w:fill="F2F4F6"/>
          </w:tcPr>
          <w:p>
            <w:pPr>
              <w:spacing w:after="20" w:before="20" w:line="252" w:lineRule="auto"/>
            </w:pPr>
            <w:r>
              <w:rPr>
                <w:sz w:val="19"/>
              </w:rPr>
              <w:t>App valuation comparison SQL</w:t>
            </w:r>
          </w:p>
        </w:tc>
        <w:tc>
          <w:tcPr>
            <w:tcW w:type="dxa" w:w="2016"/>
            <w:vAlign w:val="center"/>
            <w:tcMar>
              <w:top w:w="70" w:type="dxa"/>
              <w:bottom w:w="70" w:type="dxa"/>
              <w:left w:w="70" w:type="dxa"/>
              <w:right w:w="70" w:type="dxa"/>
            </w:tcMar>
            <w:shd w:fill="F2F4F6"/>
          </w:tcPr>
          <w:p>
            <w:pPr>
              <w:spacing w:after="20" w:before="20" w:line="252" w:lineRule="auto"/>
            </w:pPr>
            <w:r>
              <w:rPr>
                <w:sz w:val="19"/>
              </w:rPr>
              <w:t>20</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33</w:t>
            </w:r>
          </w:p>
        </w:tc>
        <w:tc>
          <w:tcPr>
            <w:tcW w:type="dxa" w:w="6538"/>
            <w:vAlign w:val="center"/>
            <w:tcMar>
              <w:top w:w="70" w:type="dxa"/>
              <w:bottom w:w="70" w:type="dxa"/>
              <w:left w:w="70" w:type="dxa"/>
              <w:right w:w="70" w:type="dxa"/>
            </w:tcMar>
            <w:shd w:fill="FFFFFF"/>
          </w:tcPr>
          <w:p>
            <w:pPr>
              <w:spacing w:after="20" w:before="20" w:line="252" w:lineRule="auto"/>
            </w:pPr>
            <w:r>
              <w:rPr>
                <w:sz w:val="19"/>
              </w:rPr>
              <w:t>App appreciation ranking SQL</w:t>
            </w:r>
          </w:p>
        </w:tc>
        <w:tc>
          <w:tcPr>
            <w:tcW w:type="dxa" w:w="2016"/>
            <w:vAlign w:val="center"/>
            <w:tcMar>
              <w:top w:w="70" w:type="dxa"/>
              <w:bottom w:w="70" w:type="dxa"/>
              <w:left w:w="70" w:type="dxa"/>
              <w:right w:w="70" w:type="dxa"/>
            </w:tcMar>
            <w:shd w:fill="FFFFFF"/>
          </w:tcPr>
          <w:p>
            <w:pPr>
              <w:spacing w:after="20" w:before="20" w:line="252" w:lineRule="auto"/>
            </w:pPr>
            <w:r>
              <w:rPr>
                <w:sz w:val="19"/>
              </w:rPr>
              <w:t>21</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34</w:t>
            </w:r>
          </w:p>
        </w:tc>
        <w:tc>
          <w:tcPr>
            <w:tcW w:type="dxa" w:w="6538"/>
            <w:vAlign w:val="center"/>
            <w:tcMar>
              <w:top w:w="70" w:type="dxa"/>
              <w:bottom w:w="70" w:type="dxa"/>
              <w:left w:w="70" w:type="dxa"/>
              <w:right w:w="70" w:type="dxa"/>
            </w:tcMar>
            <w:shd w:fill="F2F4F6"/>
          </w:tcPr>
          <w:p>
            <w:pPr>
              <w:spacing w:after="20" w:before="20" w:line="252" w:lineRule="auto"/>
            </w:pPr>
            <w:r>
              <w:rPr>
                <w:sz w:val="19"/>
              </w:rPr>
              <w:t>App monthly aggregation SQL</w:t>
            </w:r>
          </w:p>
        </w:tc>
        <w:tc>
          <w:tcPr>
            <w:tcW w:type="dxa" w:w="2016"/>
            <w:vAlign w:val="center"/>
            <w:tcMar>
              <w:top w:w="70" w:type="dxa"/>
              <w:bottom w:w="70" w:type="dxa"/>
              <w:left w:w="70" w:type="dxa"/>
              <w:right w:w="70" w:type="dxa"/>
            </w:tcMar>
            <w:shd w:fill="F2F4F6"/>
          </w:tcPr>
          <w:p>
            <w:pPr>
              <w:spacing w:after="20" w:before="20" w:line="252" w:lineRule="auto"/>
            </w:pPr>
            <w:r>
              <w:rPr>
                <w:sz w:val="19"/>
              </w:rPr>
              <w:t>22</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35–39</w:t>
            </w:r>
          </w:p>
        </w:tc>
        <w:tc>
          <w:tcPr>
            <w:tcW w:type="dxa" w:w="6538"/>
            <w:vAlign w:val="center"/>
            <w:tcMar>
              <w:top w:w="70" w:type="dxa"/>
              <w:bottom w:w="70" w:type="dxa"/>
              <w:left w:w="70" w:type="dxa"/>
              <w:right w:w="70" w:type="dxa"/>
            </w:tcMar>
            <w:shd w:fill="FFFFFF"/>
          </w:tcPr>
          <w:p>
            <w:pPr>
              <w:spacing w:after="20" w:before="20" w:line="252" w:lineRule="auto"/>
            </w:pPr>
            <w:r>
              <w:rPr>
                <w:sz w:val="19"/>
              </w:rPr>
              <w:t>App graph tooltips</w:t>
            </w:r>
          </w:p>
        </w:tc>
        <w:tc>
          <w:tcPr>
            <w:tcW w:type="dxa" w:w="2016"/>
            <w:vAlign w:val="center"/>
            <w:tcMar>
              <w:top w:w="70" w:type="dxa"/>
              <w:bottom w:w="70" w:type="dxa"/>
              <w:left w:w="70" w:type="dxa"/>
              <w:right w:w="70" w:type="dxa"/>
            </w:tcMar>
            <w:shd w:fill="FFFFFF"/>
          </w:tcPr>
          <w:p>
            <w:pPr>
              <w:spacing w:after="20" w:before="20" w:line="252" w:lineRule="auto"/>
            </w:pPr>
            <w:r>
              <w:rPr>
                <w:sz w:val="19"/>
              </w:rPr>
              <w:t>23</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40–47</w:t>
            </w:r>
          </w:p>
        </w:tc>
        <w:tc>
          <w:tcPr>
            <w:tcW w:type="dxa" w:w="6538"/>
            <w:vAlign w:val="center"/>
            <w:tcMar>
              <w:top w:w="70" w:type="dxa"/>
              <w:bottom w:w="70" w:type="dxa"/>
              <w:left w:w="70" w:type="dxa"/>
              <w:right w:w="70" w:type="dxa"/>
            </w:tcMar>
            <w:shd w:fill="F2F4F6"/>
          </w:tcPr>
          <w:p>
            <w:pPr>
              <w:spacing w:after="20" w:before="20" w:line="252" w:lineRule="auto"/>
            </w:pPr>
            <w:r>
              <w:rPr>
                <w:sz w:val="19"/>
              </w:rPr>
              <w:t>App Data metric views</w:t>
            </w:r>
          </w:p>
        </w:tc>
        <w:tc>
          <w:tcPr>
            <w:tcW w:type="dxa" w:w="2016"/>
            <w:vAlign w:val="center"/>
            <w:tcMar>
              <w:top w:w="70" w:type="dxa"/>
              <w:bottom w:w="70" w:type="dxa"/>
              <w:left w:w="70" w:type="dxa"/>
              <w:right w:w="70" w:type="dxa"/>
            </w:tcMar>
            <w:shd w:fill="F2F4F6"/>
          </w:tcPr>
          <w:p>
            <w:pPr>
              <w:spacing w:after="20" w:before="20" w:line="252" w:lineRule="auto"/>
            </w:pPr>
            <w:r>
              <w:rPr>
                <w:sz w:val="19"/>
              </w:rPr>
              <w:t>24</w:t>
            </w:r>
          </w:p>
        </w:tc>
      </w:tr>
      <w:tr>
        <w:trPr>
          <w:cantSplit/>
        </w:trPr>
        <w:tc>
          <w:tcPr>
            <w:tcW w:type="dxa" w:w="1440"/>
            <w:vAlign w:val="center"/>
            <w:tcMar>
              <w:top w:w="70" w:type="dxa"/>
              <w:bottom w:w="70" w:type="dxa"/>
              <w:left w:w="70" w:type="dxa"/>
              <w:right w:w="70" w:type="dxa"/>
            </w:tcMar>
            <w:shd w:fill="FFFFFF"/>
          </w:tcPr>
          <w:p>
            <w:pPr>
              <w:spacing w:after="20" w:before="20" w:line="252" w:lineRule="auto"/>
            </w:pPr>
            <w:r>
              <w:rPr>
                <w:sz w:val="19"/>
              </w:rPr>
              <w:t>48–50</w:t>
            </w:r>
          </w:p>
        </w:tc>
        <w:tc>
          <w:tcPr>
            <w:tcW w:type="dxa" w:w="6538"/>
            <w:vAlign w:val="center"/>
            <w:tcMar>
              <w:top w:w="70" w:type="dxa"/>
              <w:bottom w:w="70" w:type="dxa"/>
              <w:left w:w="70" w:type="dxa"/>
              <w:right w:w="70" w:type="dxa"/>
            </w:tcMar>
            <w:shd w:fill="FFFFFF"/>
          </w:tcPr>
          <w:p>
            <w:pPr>
              <w:spacing w:after="20" w:before="20" w:line="252" w:lineRule="auto"/>
            </w:pPr>
            <w:r>
              <w:rPr>
                <w:sz w:val="19"/>
              </w:rPr>
              <w:t>App Market and Valuation dashboards</w:t>
            </w:r>
          </w:p>
        </w:tc>
        <w:tc>
          <w:tcPr>
            <w:tcW w:type="dxa" w:w="2016"/>
            <w:vAlign w:val="center"/>
            <w:tcMar>
              <w:top w:w="70" w:type="dxa"/>
              <w:bottom w:w="70" w:type="dxa"/>
              <w:left w:w="70" w:type="dxa"/>
              <w:right w:w="70" w:type="dxa"/>
            </w:tcMar>
            <w:shd w:fill="FFFFFF"/>
          </w:tcPr>
          <w:p>
            <w:pPr>
              <w:spacing w:after="20" w:before="20" w:line="252" w:lineRule="auto"/>
            </w:pPr>
            <w:r>
              <w:rPr>
                <w:sz w:val="19"/>
              </w:rPr>
              <w:t>25</w:t>
            </w:r>
          </w:p>
        </w:tc>
      </w:tr>
      <w:tr>
        <w:trPr>
          <w:cantSplit/>
        </w:trPr>
        <w:tc>
          <w:tcPr>
            <w:tcW w:type="dxa" w:w="1440"/>
            <w:vAlign w:val="center"/>
            <w:tcMar>
              <w:top w:w="70" w:type="dxa"/>
              <w:bottom w:w="70" w:type="dxa"/>
              <w:left w:w="70" w:type="dxa"/>
              <w:right w:w="70" w:type="dxa"/>
            </w:tcMar>
            <w:shd w:fill="F2F4F6"/>
          </w:tcPr>
          <w:p>
            <w:pPr>
              <w:spacing w:after="20" w:before="20" w:line="252" w:lineRule="auto"/>
            </w:pPr>
            <w:r>
              <w:rPr>
                <w:sz w:val="19"/>
              </w:rPr>
              <w:t>51–52</w:t>
            </w:r>
          </w:p>
        </w:tc>
        <w:tc>
          <w:tcPr>
            <w:tcW w:type="dxa" w:w="6538"/>
            <w:vAlign w:val="center"/>
            <w:tcMar>
              <w:top w:w="70" w:type="dxa"/>
              <w:bottom w:w="70" w:type="dxa"/>
              <w:left w:w="70" w:type="dxa"/>
              <w:right w:w="70" w:type="dxa"/>
            </w:tcMar>
            <w:shd w:fill="F2F4F6"/>
          </w:tcPr>
          <w:p>
            <w:pPr>
              <w:spacing w:after="20" w:before="20" w:line="252" w:lineRule="auto"/>
            </w:pPr>
            <w:r>
              <w:rPr>
                <w:sz w:val="19"/>
              </w:rPr>
              <w:t>App Agent Ops and Library</w:t>
            </w:r>
          </w:p>
        </w:tc>
        <w:tc>
          <w:tcPr>
            <w:tcW w:type="dxa" w:w="2016"/>
            <w:vAlign w:val="center"/>
            <w:tcMar>
              <w:top w:w="70" w:type="dxa"/>
              <w:bottom w:w="70" w:type="dxa"/>
              <w:left w:w="70" w:type="dxa"/>
              <w:right w:w="70" w:type="dxa"/>
            </w:tcMar>
            <w:shd w:fill="F2F4F6"/>
          </w:tcPr>
          <w:p>
            <w:pPr>
              <w:spacing w:after="20" w:before="20" w:line="252" w:lineRule="auto"/>
            </w:pPr>
            <w:r>
              <w:rPr>
                <w:sz w:val="19"/>
              </w:rPr>
              <w:t>26</w:t>
            </w:r>
          </w:p>
        </w:tc>
      </w:tr>
    </w:tbl>
    <w:p>
      <w:pPr>
        <w:pStyle w:val="Heading1"/>
        <w:pageBreakBefore/>
      </w:pPr>
      <w:r>
        <w:t>Sources and verification notes</w:t>
      </w:r>
    </w:p>
    <w:p>
      <w:pPr>
        <w:widowControl/>
      </w:pPr>
      <w:r>
        <w:t>S1. Screenshot 2026-10-10 at 19.39.48.pdf. All 52 pages visually reviewed. Primary evidence for screen order, labels, recorded answers, selected SQL, and visible telemetry. Financial values in the script are reported demo outputs, not independent market-data verification.</w:t>
      </w:r>
    </w:p>
    <w:p>
      <w:pPr>
        <w:widowControl/>
      </w:pPr>
      <w:r>
        <w:t>S2. AI_BI Curation and Best Practices - Markerstudy.pptx. Supplied presentation, especially slides 18–23: focused data scope, documented objects, SQL examples, concise instructions, monitoring, and iterative evaluation. Used as implementation guidance, not proof of project configuration.</w:t>
      </w:r>
    </w:p>
    <w:p>
      <w:pPr>
        <w:widowControl/>
      </w:pPr>
      <w:r>
        <w:t>S3. Best Practices with Unity Catalog (go_uc_best-practices).docx. Supplied reference. Used for governance context. Historical release limitations and forward-looking statements were not treated as current platform restrictions.</w:t>
      </w:r>
    </w:p>
    <w:p>
      <w:pPr>
        <w:widowControl/>
      </w:pPr>
      <w:r>
        <w:t>S4. CI_CD Best Practices on Databricks (1).pptx. Supplied presentation. Used for lifecycle and orchestration context. Historical feature status and example runtime versions were not adopted as current deployment requirements.</w:t>
      </w:r>
    </w:p>
    <w:p>
      <w:pPr>
        <w:widowControl/>
      </w:pPr>
      <w:r>
        <w:t>S5. The supplied lakehouse architecture, observability, and logging references were available as background materials. No project implementation claim in this script relies on those references.</w:t>
      </w:r>
    </w:p>
    <w:p>
      <w:pPr>
        <w:widowControl/>
      </w:pPr>
      <w:r>
        <w:t>S6. databricks-skills.zip. Supplied June 2026 skill archive. Relevant guidance reviewed for Genie, Agent Bricks, App Python, AI BI dashboards, and bundles. Tool names and example configurations in this archive were not assumed to be present in the project or available in this session.</w:t>
      </w:r>
    </w:p>
    <w:p>
      <w:pPr>
        <w:widowControl/>
      </w:pPr>
      <w:r>
        <w:t>W1. Databricks, Curate an effective Genie Agent. Checked 10 October 2026. https://docs.databricks.com/aws/en/genie-agents/best-practices</w:t>
      </w:r>
    </w:p>
    <w:p>
      <w:pPr>
        <w:widowControl/>
      </w:pPr>
      <w:r>
        <w:t>W2. Databricks, Unity Catalog best practices. Checked 10 October 2026. https://docs.databricks.com/aws/en/data-governance/unity-catalog/best-practices</w:t>
      </w:r>
    </w:p>
    <w:p>
      <w:pPr>
        <w:widowControl/>
      </w:pPr>
      <w:r>
        <w:t>W3. Databricks, Configure authorization in a Databricks app. Checked 10 October 2026. https://docs.databricks.com/aws/en/dev-tools/databricks-apps/auth</w:t>
      </w:r>
    </w:p>
    <w:p>
      <w:pPr>
        <w:widowControl/>
      </w:pPr>
      <w:r>
        <w:t>W4. Databricks, Share a dashboard. Checked 10 October 2026. https://docs.databricks.com/aws/en/dashboards/share/share</w:t>
      </w:r>
    </w:p>
    <w:p>
      <w:pPr>
        <w:widowControl/>
      </w:pPr>
      <w:r>
        <w:t>W5. Databricks, Tracing overview. Checked 10 October 2026. https://docs.databricks.com/aws/en/mlflow3/genai/tracing/overview</w:t>
      </w:r>
    </w:p>
    <w:p>
      <w:pPr>
        <w:widowControl/>
      </w:pPr>
      <w:r>
        <w:t>W6. Databricks, What are Declarative Automation Bundles and Use Supervisor Agent to create a coordinated multi-agent system. Checked 10 October 2026. https://docs.databricks.com/aws/en/dev-tools/bundles/ and https://docs.databricks.com/aws/en/agents/agent-bricks/multi-agent-supervisor</w:t>
      </w:r>
    </w:p>
    <w:p>
      <w:pPr>
        <w:widowControl/>
      </w:pPr>
      <w:r>
        <w:t>The platform guidance informs the proposed implementation practices. The source-page references ground the demonstrated behavior. Where repository or configuration evidence is absent, the script preserves that distinction so the presenter can explain the design without overstating what has been verified.</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Alexandre Barreto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MAG7 Financial You.com Agent  |  Presenter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MAG7 Financial Youcom Agent Demo Presenter Script</dc:title>
  <dc:subject>Detailed screenshot walkthrough and Databricks implementation explanation</dc:subject>
  <dc:creator>Alexandre Barreto</dc:creator>
  <cp:keywords/>
  <dc:description>generated by python-docx</dc:description>
  <cp:lastModifiedBy/>
  <cp:revision>1</cp:revision>
  <dcterms:created xsi:type="dcterms:W3CDTF">2013-12-23T23:15:00Z</dcterms:created>
  <dcterms:modified xsi:type="dcterms:W3CDTF">2013-12-23T23:15:00Z</dcterms:modified>
  <cp:category/>
</cp:coreProperties>
</file>