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bookmarkStart w:id="0" w:name="_GoBack"/>
      <w:bookmarkEnd w:id="0"/>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773295" cy="4241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3781425" cy="737870"/>
            <wp:effectExtent l="0" t="0" r="952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3781425" cy="7378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631055" cy="426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1514475" cy="7734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4181475" cy="304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4181475" cy="3048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9"/>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0"/>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4"/>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5"/>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6"/>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F357943"/>
    <w:rsid w:val="40094DF2"/>
    <w:rsid w:val="53D0764F"/>
    <w:rsid w:val="69EF0DBA"/>
    <w:rsid w:val="70C322C0"/>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349</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2019-12-05T13:06:59Z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