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def子句的剩余部分包括了一个虽然可选但是强烈推荐的文档字符串，hebi9xu的函数体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任何输入的参数斗必须放置在括号中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914650" cy="2794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42945" cy="463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在一个模块中最高级别的变量由全局作用域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581150" cy="16770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提到名字空间，科一想像是否有这个标识符</w:t>
      </w:r>
    </w:p>
    <w:p>
      <w:pPr>
        <w:ind w:left="840" w:leftChars="0" w:firstLine="420" w:firstLineChars="0"/>
        <w:rPr>
          <w:rFonts w:hint="eastAsia"/>
          <w:lang w:val="en-US" w:eastAsia="zh-CN"/>
        </w:rPr>
      </w:pPr>
      <w:r>
        <w:rPr>
          <w:rFonts w:hint="eastAsia"/>
          <w:lang w:val="en-US" w:eastAsia="zh-CN"/>
        </w:rPr>
        <w:t>提到变量的作用域，科一想像是否可以“看见”这个标识符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055495" cy="895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962150" cy="16427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282700" cy="1644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1416050" cy="2098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default"/>
          <w:lang w:val="en-US" w:eastAsia="zh-CN"/>
        </w:rPr>
      </w:pPr>
      <w:r>
        <w:rPr>
          <w:rFonts w:hint="eastAsia"/>
          <w:lang w:val="en-US" w:eastAsia="zh-CN"/>
        </w:rPr>
        <w:t>给函数加入事务的能力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3CCE"/>
    <w:rsid w:val="00CE2C25"/>
    <w:rsid w:val="013E3E9C"/>
    <w:rsid w:val="515D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2019-10-27T08:54:05Z</dcterms:created>
  <dc:creator>asd</dc:creator>
  <cp:lastModifiedBy> °昨日⌒        °今</cp:lastModifiedBy>
  <dcterms:modified xsi:type="dcterms:W3CDTF">2019-10-27T10:24:43Z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