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标准acl配置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创建acl：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router(config)#access-list access-list-number {permit（允许数据包通过）|deny（拒绝数据包通过）} source [source-wildcard]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router(config)#access-list 1 permit any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router(config)#access-list 1 deny host </w:t>
      </w:r>
      <w:bookmarkStart w:id="0" w:name="_GoBack"/>
      <w:bookmarkEnd w:id="0"/>
      <w:r>
        <w:rPr>
          <w:rFonts w:hint="eastAsia"/>
          <w:lang w:val="en-US" w:eastAsia="zh-CN"/>
        </w:rPr>
        <w:t>192.168.0.1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4215130" cy="737870"/>
            <wp:effectExtent l="0" t="0" r="139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0严格匹配，255不匹配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4062730" cy="1207770"/>
            <wp:effectExtent l="0" t="0" r="139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默认存在于最后一条，凡是来者都被拒绝，所以前头要写上允许的规则，因为是从上到下的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将acl应用于接口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router(config-if)#ip access-group access-list-number {in|out}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在接口上取消acl的应用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router(config-if)#no ip access-group access-list-number {in|out}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0316A"/>
    <w:rsid w:val="151E09C6"/>
    <w:rsid w:val="3D822239"/>
    <w:rsid w:val="3FEE7330"/>
    <w:rsid w:val="44196BC4"/>
    <w:rsid w:val="4F917380"/>
    <w:rsid w:val="659D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2019-02-02T03:43:18Z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