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</w:t>
      </w:r>
      <w:bookmarkStart w:id="0" w:name="_GoBack"/>
      <w:bookmarkEnd w:id="0"/>
      <w:r>
        <w:rPr>
          <w:rFonts w:hint="eastAsia"/>
          <w:b/>
          <w:bCs/>
          <w:color w:val="auto"/>
          <w:lang w:val="en-US" w:eastAsia="zh-CN"/>
        </w:rPr>
        <w:t>执行系统命令：加上system即可，也就是system+系统命令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6480"/>
    <w:rsid w:val="03D261DA"/>
    <w:rsid w:val="051A08F7"/>
    <w:rsid w:val="0B7652EC"/>
    <w:rsid w:val="0BBD1921"/>
    <w:rsid w:val="0E5C018F"/>
    <w:rsid w:val="0F6F0435"/>
    <w:rsid w:val="104342D6"/>
    <w:rsid w:val="15BC1A66"/>
    <w:rsid w:val="16262C2B"/>
    <w:rsid w:val="16642D38"/>
    <w:rsid w:val="18066B2F"/>
    <w:rsid w:val="232C5B91"/>
    <w:rsid w:val="26152A3D"/>
    <w:rsid w:val="2DC05215"/>
    <w:rsid w:val="3080691A"/>
    <w:rsid w:val="39DD4B43"/>
    <w:rsid w:val="40332EC2"/>
    <w:rsid w:val="441C466A"/>
    <w:rsid w:val="47C672B5"/>
    <w:rsid w:val="4DDA562D"/>
    <w:rsid w:val="4FDE5AC3"/>
    <w:rsid w:val="4FDE7F90"/>
    <w:rsid w:val="50CE7D60"/>
    <w:rsid w:val="517A0B5C"/>
    <w:rsid w:val="52460BAF"/>
    <w:rsid w:val="54605B5F"/>
    <w:rsid w:val="54A3573B"/>
    <w:rsid w:val="57CB2CF2"/>
    <w:rsid w:val="5A0E4987"/>
    <w:rsid w:val="66252A0A"/>
    <w:rsid w:val="663863DD"/>
    <w:rsid w:val="6B8D706C"/>
    <w:rsid w:val="6CC760B9"/>
    <w:rsid w:val="6DD9278C"/>
    <w:rsid w:val="6FC4375C"/>
    <w:rsid w:val="71403131"/>
    <w:rsid w:val="79AA03E6"/>
    <w:rsid w:val="7A876CD2"/>
    <w:rsid w:val="7AB70ED7"/>
    <w:rsid w:val="7B12439B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2019-05-06T09:07:30Z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