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2E" w:rsidRPr="00A65FB8" w:rsidRDefault="00A65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FB8">
        <w:rPr>
          <w:rFonts w:ascii="Times New Roman" w:hAnsi="Times New Roman" w:cs="Times New Roman"/>
          <w:sz w:val="28"/>
          <w:szCs w:val="28"/>
          <w:lang w:val="uk-UA"/>
        </w:rPr>
        <w:t>Головна (вкладки)</w:t>
      </w:r>
    </w:p>
    <w:p w:rsidR="00A65FB8" w:rsidRPr="00A65FB8" w:rsidRDefault="00A65FB8" w:rsidP="00A65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val="uk-UA"/>
        </w:rPr>
        <w:t>І.  П</w:t>
      </w:r>
      <w:proofErr w:type="spellStart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>розорість</w:t>
      </w:r>
      <w:proofErr w:type="spellEnd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 xml:space="preserve"> та </w:t>
      </w:r>
      <w:proofErr w:type="spellStart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>інформаційна</w:t>
      </w:r>
      <w:proofErr w:type="spellEnd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>відкритість</w:t>
      </w:r>
      <w:proofErr w:type="spellEnd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 xml:space="preserve"> закладу </w:t>
      </w:r>
      <w:proofErr w:type="spellStart"/>
      <w:r w:rsidRPr="00A65FB8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</w:rPr>
        <w:t>освіти</w:t>
      </w:r>
      <w:proofErr w:type="spellEnd"/>
    </w:p>
    <w:p w:rsidR="00A65FB8" w:rsidRPr="00A65FB8" w:rsidRDefault="00F95A2E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hyperlink r:id="rId6" w:tgtFrame="_blank" w:history="1"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статут закладу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освіти</w:t>
        </w:r>
        <w:proofErr w:type="spellEnd"/>
      </w:hyperlink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л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іцензія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на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провадження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освітньої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діяльності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сертифікат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про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акредитацію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освітніх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програм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структура та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органи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управління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закладу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освіти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кадровий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склад </w:t>
      </w:r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(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згідно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з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ліцензійними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умовами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освітні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програми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які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втілюють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закладі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перелі</w:t>
      </w:r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ітніх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компонентів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визначених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освітніми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програмами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територія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обслуговування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закладу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(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закріплює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засновник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ліцензований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обсяг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і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фактична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кількість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осіб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які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навчаються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закладі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освіти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мова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мови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освітнього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процесу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наявність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вакантних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посад, порядок і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умови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проведення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конкурсу на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їх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заміщення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(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якщо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проводять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матеріально-технічне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забезпечення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закладу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(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згідно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з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ліцензійними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умовами</w:t>
      </w:r>
      <w:proofErr w:type="spellEnd"/>
      <w:r w:rsidRPr="00A65FB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наявність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гуртожитків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ільних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місць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у них,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розмір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плати за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проживання</w:t>
      </w:r>
      <w:proofErr w:type="spellEnd"/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результати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моніторингу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якості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освіти</w:t>
      </w:r>
      <w:proofErr w:type="spellEnd"/>
    </w:p>
    <w:p w:rsidR="00A65FB8" w:rsidRPr="00A65FB8" w:rsidRDefault="00F95A2E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hyperlink r:id="rId7" w:history="1">
        <w:proofErr w:type="spellStart"/>
        <w:proofErr w:type="gram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р</w:t>
        </w:r>
        <w:proofErr w:type="gram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ічний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звіт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про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діяльність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закладу</w:t>
        </w:r>
      </w:hyperlink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правила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прийому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до</w:t>
      </w:r>
      <w:proofErr w:type="gram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закладу</w:t>
      </w:r>
    </w:p>
    <w:p w:rsidR="00A65FB8" w:rsidRPr="00A65FB8" w:rsidRDefault="00F95A2E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hyperlink r:id="rId8" w:history="1"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умови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доступності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закладу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освіти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для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навчання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</w:t>
        </w:r>
        <w:proofErr w:type="spellStart"/>
        <w:proofErr w:type="gram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осіб</w:t>
        </w:r>
        <w:proofErr w:type="spellEnd"/>
        <w:proofErr w:type="gram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з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особливими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>освітніми</w:t>
        </w:r>
        <w:proofErr w:type="spellEnd"/>
        <w:r w:rsidR="00A65FB8" w:rsidRPr="00A65FB8">
          <w:rPr>
            <w:rFonts w:ascii="Times New Roman" w:eastAsia="Times New Roman" w:hAnsi="Times New Roman" w:cs="Times New Roman"/>
            <w:color w:val="083D88"/>
            <w:sz w:val="28"/>
            <w:szCs w:val="28"/>
            <w:u w:val="single"/>
            <w:lang w:eastAsia="ru-RU"/>
          </w:rPr>
          <w:t xml:space="preserve"> потребами</w:t>
        </w:r>
      </w:hyperlink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перелік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додаткових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освітніх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та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інших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послуг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їх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вартість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порядок </w:t>
      </w:r>
      <w:proofErr w:type="spellStart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надання</w:t>
      </w:r>
      <w:proofErr w:type="spellEnd"/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й оплати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A65FB8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 Стратегія розвитку закладу </w:t>
      </w:r>
    </w:p>
    <w:p w:rsidR="00A65FB8" w:rsidRPr="00A65FB8" w:rsidRDefault="00A65FB8" w:rsidP="00A65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A65FB8">
        <w:rPr>
          <w:rFonts w:ascii="Times New Roman" w:hAnsi="Times New Roman" w:cs="Times New Roman"/>
          <w:sz w:val="28"/>
          <w:szCs w:val="28"/>
          <w:lang w:val="uk-UA"/>
        </w:rPr>
        <w:t>Положення про внутрішню систему якості освіти Рівненського ліцею №6 Рівненської міської ради</w:t>
      </w:r>
    </w:p>
    <w:p w:rsidR="00A65FB8" w:rsidRPr="0032507C" w:rsidRDefault="00A65FB8" w:rsidP="00A65FB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>ІІ. Батькам</w:t>
      </w:r>
    </w:p>
    <w:p w:rsidR="00A65FB8" w:rsidRPr="0032507C" w:rsidRDefault="00A65FB8" w:rsidP="00A65FB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2507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.Протидія </w:t>
      </w:r>
      <w:proofErr w:type="spellStart"/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>булінгу</w:t>
      </w:r>
      <w:proofErr w:type="spellEnd"/>
    </w:p>
    <w:p w:rsidR="00A65FB8" w:rsidRPr="0032507C" w:rsidRDefault="00A65FB8" w:rsidP="00A65FB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507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Екстернат</w:t>
      </w:r>
    </w:p>
    <w:p w:rsidR="002079DB" w:rsidRDefault="00A65FB8" w:rsidP="002079DB">
      <w:pPr>
        <w:pStyle w:val="a3"/>
        <w:ind w:left="708" w:firstLine="1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507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>І .</w:t>
      </w:r>
      <w:proofErr w:type="gramEnd"/>
      <w:r w:rsidRPr="003250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Електронні версії підручників (</w:t>
      </w:r>
      <w:hyperlink r:id="rId9" w:history="1">
        <w:r w:rsidR="00F95A2E" w:rsidRPr="00D64DD7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https://lib.imzo.gov.ua/yelektronn-vers-pdruchnikv/</w:t>
        </w:r>
      </w:hyperlink>
    </w:p>
    <w:p w:rsidR="00A65FB8" w:rsidRPr="00A65FB8" w:rsidRDefault="00A65FB8" w:rsidP="002079DB">
      <w:pPr>
        <w:pStyle w:val="a3"/>
        <w:ind w:left="708" w:firstLine="1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A65F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65FB8">
        <w:rPr>
          <w:rFonts w:ascii="Times New Roman" w:hAnsi="Times New Roman" w:cs="Times New Roman"/>
          <w:sz w:val="28"/>
          <w:szCs w:val="28"/>
          <w:lang w:val="uk-UA"/>
        </w:rPr>
        <w:t>ІІ .</w:t>
      </w:r>
      <w:proofErr w:type="gramEnd"/>
      <w:r w:rsidRPr="00A65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Фінансова</w:t>
      </w:r>
      <w:proofErr w:type="spellEnd"/>
      <w:r w:rsidRPr="00A65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65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звітність</w:t>
      </w:r>
      <w:proofErr w:type="spellEnd"/>
      <w:r w:rsidRPr="00A65F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65FB8" w:rsidRPr="00A65FB8" w:rsidRDefault="00A65FB8" w:rsidP="00A65FB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65FB8" w:rsidRPr="00A6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5559AA"/>
    <w:multiLevelType w:val="hybridMultilevel"/>
    <w:tmpl w:val="45E4C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4D"/>
    <w:rsid w:val="002079DB"/>
    <w:rsid w:val="0032507C"/>
    <w:rsid w:val="0056294D"/>
    <w:rsid w:val="00571F2E"/>
    <w:rsid w:val="00A65FB8"/>
    <w:rsid w:val="00B1258A"/>
    <w:rsid w:val="00F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5FB8"/>
    <w:rPr>
      <w:color w:val="0000FF"/>
      <w:u w:val="single"/>
    </w:rPr>
  </w:style>
  <w:style w:type="character" w:styleId="a5">
    <w:name w:val="Emphasis"/>
    <w:basedOn w:val="a0"/>
    <w:uiPriority w:val="20"/>
    <w:qFormat/>
    <w:rsid w:val="00A65FB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65F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5FB8"/>
    <w:rPr>
      <w:color w:val="0000FF"/>
      <w:u w:val="single"/>
    </w:rPr>
  </w:style>
  <w:style w:type="character" w:styleId="a5">
    <w:name w:val="Emphasis"/>
    <w:basedOn w:val="a0"/>
    <w:uiPriority w:val="20"/>
    <w:qFormat/>
    <w:rsid w:val="00A65FB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65F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drada.com.ua/article/1381-dizayn-dlya-dtey-z-osoblivimi-osvtnmi-potrebam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edrada.com.ua/article/1290-qqq-17-m5-11-05-2017-skoro-shchorchne-zvtuvannya-kervnika-navchalnogo-zakla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irshkoly.mcfr.ua/article.aspx?aid=549422&amp;utm_source=pedrada.com.ua&amp;utm_medium=refer&amp;utm_campaign=content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.imzo.gov.ua/yelektronn-vers-pdruchnik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2022-09-07T08:20:00Z</dcterms:created>
  <dcterms:modified xsi:type="dcterms:W3CDTF">2022-09-07T11:16:00Z</dcterms:modified>
</cp:coreProperties>
</file>