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1"/>
        </w:rPr>
        <w:t>表1　文献信息编码表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ayout w:type="fixed"/>
      </w:tblPr>
      <w:tblGrid>
        <w:gridCol w:w="340"/>
        <w:gridCol w:w="1247"/>
        <w:gridCol w:w="396"/>
        <w:gridCol w:w="510"/>
        <w:gridCol w:w="623"/>
        <w:gridCol w:w="1332"/>
        <w:gridCol w:w="907"/>
        <w:gridCol w:w="1020"/>
        <w:gridCol w:w="793"/>
        <w:gridCol w:w="1077"/>
        <w:gridCol w:w="992"/>
        <w:gridCol w:w="963"/>
      </w:tblGrid>
      <w:tr>
        <w:trPr>
          <w:cantSplit w:val="true"/>
          <w:tblHeader w:val="true"/>
        </w:trPr>
        <w:tc>
          <w:tcPr>
            <w:tcW w:type="dxa" w:w="340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编号</w:t>
            </w:r>
          </w:p>
        </w:tc>
        <w:tc>
          <w:tcPr>
            <w:tcW w:type="dxa" w:w="124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第一作者与年份</w:t>
            </w:r>
          </w:p>
        </w:tc>
        <w:tc>
          <w:tcPr>
            <w:tcW w:type="dxa" w:w="39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被试数</w:t>
            </w:r>
          </w:p>
        </w:tc>
        <w:tc>
          <w:tcPr>
            <w:tcW w:type="dxa" w:w="510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男女比例</w:t>
            </w:r>
          </w:p>
        </w:tc>
        <w:tc>
          <w:tcPr>
            <w:tcW w:type="dxa" w:w="624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年龄范围（岁）</w:t>
            </w:r>
          </w:p>
        </w:tc>
        <w:tc>
          <w:tcPr>
            <w:tcW w:type="dxa" w:w="1332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孤独症程度</w:t>
            </w:r>
          </w:p>
        </w:tc>
        <w:tc>
          <w:tcPr>
            <w:tcW w:type="dxa" w:w="90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示范者</w:t>
            </w:r>
          </w:p>
        </w:tc>
        <w:tc>
          <w:tcPr>
            <w:tcW w:type="dxa" w:w="1020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干预方式</w:t>
            </w:r>
          </w:p>
        </w:tc>
        <w:tc>
          <w:tcPr>
            <w:tcW w:type="dxa" w:w="794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呈现设备</w:t>
            </w:r>
          </w:p>
        </w:tc>
        <w:tc>
          <w:tcPr>
            <w:tcW w:type="dxa" w:w="107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单次时长</w:t>
            </w:r>
          </w:p>
        </w:tc>
        <w:tc>
          <w:tcPr>
            <w:tcW w:type="dxa" w:w="992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干预场所</w:t>
            </w:r>
          </w:p>
        </w:tc>
        <w:tc>
          <w:tcPr>
            <w:tcW w:type="dxa" w:w="964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目标技能类型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Bloh，2025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6∶2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5～8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成人示范、动画示范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便携触屏设备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综合沟通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Boudreau，2013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4～7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Buggey，1999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8～11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超过 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社交应答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Buggey，2011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2∶2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3～4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36～39 轻中度、重度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Buggey，2012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2～3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39.5～45 重度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Buggey，2016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重度；GARS 一般可能、很可能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Cardon，2019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3～4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GARS-3 很可能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便携触屏设备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综合沟通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Charlop，2010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7～11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DSM-IV-TR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情感分享、表情与手势、情绪表达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谌小猛，2020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10～12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需求表达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Gena，2005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3～5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情绪表达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Grosberg，2014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7～9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便携触屏设备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游戏邀请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Hetzroni，2004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7～12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动画示范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社交发起、会话维持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李欢，2018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4～5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综合沟通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Li，2025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ADOS 孤独症范围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成人示范、动画示范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便携触屏设备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综合沟通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Liu，2015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成人示范、同伴示范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会话维持、情境适应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Malmberg，2015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6～8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DSM-5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社交应答、情感分享、亲社会行为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Miltenberger，2015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5～12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电视、便携触屏设备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会话维持、需求表达、情境适应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Murphy，2018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需求表达、交往仪态、群体融入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Nikopoulos，2004a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7～9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31～35.5 轻中度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游戏邀请、游戏互动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Nikopoulos，2004b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7～10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33.5～36.5 轻中度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游戏邀请、游戏互动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Nikopoulos，2007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6～7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31～44 轻中度、重度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游戏邀请、游戏互动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Pektaş Karabekir，2018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3～5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GARS-2 可能、很可能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投影与白板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情绪表达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Radley，2014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10～11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超过 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会话维持、情感分享、群体融入、情境适应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Radley，2015a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11～12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GARS-2、ASDS 很可能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超过 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社交应答、会话维持、需求表达、交往仪态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Radley，2015b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5～11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教室、办公辅助空间、专用训练空间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群体融入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Radley，2016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社交发起、交往仪态、群体融入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Radley，2017a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GARS-2 很可能；ASRS 升高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超过 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社交发起、需求表达、交往仪态、群体融入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Radley，2017b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7～9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超过 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社交应答、会话维持、需求表达、群体融入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Radley，2018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11～12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需求表达、情感分享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Radley，2021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8～9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ASRS 升高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组合示范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单独实施、嵌入综合方案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投影与白板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社交应答、会话维持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Sansosti，2008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6～9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DSM-IV-TR 诊断；GARS 一般可能；GADS 很可能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会话维持、群体融入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Scattone，2008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DSM-IV-TR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专用训练空间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社交发起、交往仪态、表情与手势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Sherer，2001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4～11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33.5～41.5 轻中度、重度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同伴示范、自我示范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会话维持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Simpson，2004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2∶2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5～6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原文说明 轻中度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同伴示范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社交发起、亲社会行为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Taylor，1999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6～9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游戏互动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Thiemann，2001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6～12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30～39.5 轻中度、重度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嵌入综合方案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11～60 分钟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办公辅助空间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社交发起、会话维持、需求表达、情感分享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Wert，2003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4∶0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4～5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DSM-IV 诊断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电视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 分钟及以下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家庭社区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需求表达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Williamson，2013</w:t>
            </w:r>
          </w:p>
        </w:tc>
        <w:tc>
          <w:tcPr>
            <w:tcW w:type="dxa" w:w="39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1∶1</w:t>
            </w:r>
          </w:p>
        </w:tc>
        <w:tc>
          <w:tcPr>
            <w:tcW w:type="dxa" w:w="6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133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自我示范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单独实施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社交发起</w:t>
            </w:r>
          </w:p>
        </w:tc>
      </w:tr>
      <w:tr>
        <w:trPr>
          <w:cantSplit w:val="true"/>
        </w:trPr>
        <w:tc>
          <w:tcPr>
            <w:tcW w:type="dxa" w:w="340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39</w:t>
            </w:r>
          </w:p>
        </w:tc>
        <w:tc>
          <w:tcPr>
            <w:tcW w:type="dxa" w:w="1247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Yakubova，2013</w:t>
            </w:r>
          </w:p>
        </w:tc>
        <w:tc>
          <w:tcPr>
            <w:tcW w:type="dxa" w:w="397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510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1∶0</w:t>
            </w:r>
          </w:p>
        </w:tc>
        <w:tc>
          <w:tcPr>
            <w:tcW w:type="dxa" w:w="624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12</w:t>
            </w:r>
          </w:p>
        </w:tc>
        <w:tc>
          <w:tcPr>
            <w:tcW w:type="dxa" w:w="1332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CARS 轻中度</w:t>
            </w:r>
          </w:p>
        </w:tc>
        <w:tc>
          <w:tcPr>
            <w:tcW w:type="dxa" w:w="907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成人示范</w:t>
            </w:r>
          </w:p>
        </w:tc>
        <w:tc>
          <w:tcPr>
            <w:tcW w:type="dxa" w:w="1020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结合教学程序</w:t>
            </w:r>
          </w:p>
        </w:tc>
        <w:tc>
          <w:tcPr>
            <w:tcW w:type="dxa" w:w="794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电脑</w:t>
            </w:r>
          </w:p>
        </w:tc>
        <w:tc>
          <w:tcPr>
            <w:tcW w:type="dxa" w:w="1077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992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教室</w:t>
            </w:r>
          </w:p>
        </w:tc>
        <w:tc>
          <w:tcPr>
            <w:tcW w:type="dxa" w:w="964"/>
            <w:vAlign w:val="center"/>
            <w:tcBorders>
              <w:bottom w:val="single" w:sz="12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情境适应</w:t>
            </w:r>
          </w:p>
        </w:tc>
      </w:tr>
    </w:tbl>
    <w:p>
      <w:pPr>
        <w:spacing w:before="60"/>
      </w:pPr>
      <w:r>
        <w:rPr>
          <w:rFonts w:ascii="Times New Roman" w:hAnsi="Times New Roman" w:eastAsia="宋体"/>
          <w:b w:val="0"/>
          <w:sz w:val="15"/>
        </w:rPr>
        <w:t>注：—表示原文未报告。孤独症程度一栏列出原文报告的诊断标准或评估工具及其结果，其中轻中度、重度依据CARS分数或原文说明判定（见2.2.2），其余仅为诊断信息，不参与程度分组。DSM为精神障碍诊断与统计手册；CARS为儿童孤独症评定量表；GARS为吉列姆孤独症评定量表，GARS-2、GARS-3分别为第二、三版；ADOS为孤独症诊断观察量表；ASRS为孤独症谱系评定量表；ASDS为阿斯伯格综合征诊断量表；GADS为吉列姆阿斯伯格障碍量表。示范者、干预方式、单次时长等一项含多个取值的，表示该研究不同儿童或不同阶段的编码不同。年龄按实足年龄取整。Boudreau，2013原文只报告样本年龄范围，且有1名被试未报告性别；Buggey，2016、Buggey，2012各有1名被试无可判断程度的信息；Murphy，2018、Williamson，2013原文仅报告年级（分别为5～6年级、6年级）。同一第一作者同年发表的文献以a、b区分。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