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A23E" w14:textId="53B5A7E7" w:rsidR="004D6FCA" w:rsidRDefault="004D6FCA">
      <w:r>
        <w:t xml:space="preserve">This study uses the research project's PIC particle-tracking data to examine </w:t>
      </w:r>
      <w:r w:rsidRPr="004D6FCA">
        <w:t xml:space="preserve">unsupervised clustering of multivariate particle trajectories. The dataset is in HDF5 format and includes records of </w:t>
      </w:r>
      <w:r>
        <w:t>particle position, momentum components, and electromagnetic field components for 12,800 particles across</w:t>
      </w:r>
      <w:r w:rsidRPr="004D6FCA">
        <w:t xml:space="preserve"> 6,010 recorded time points. </w:t>
      </w:r>
    </w:p>
    <w:p w14:paraId="3FAD298C" w14:textId="77777777" w:rsidR="004D6FCA" w:rsidRDefault="004D6FCA"/>
    <w:p w14:paraId="66273C19" w14:textId="18CD9C22" w:rsidR="004D6FCA" w:rsidRDefault="004D6FCA">
      <w:r w:rsidRPr="004D6FCA">
        <w:t xml:space="preserve">The variables are arranged </w:t>
      </w:r>
      <w:r>
        <w:t>as</w:t>
      </w:r>
      <w:r w:rsidRPr="004D6FCA">
        <w:t xml:space="preserve"> a two-dimensional array of size 6010 × 12800, with the first dimension corresponding to time and the second to particles. A shared time array specifies the recording times, while particle identifiers associate the variables and clustering results with individual particles. Variable names, coordinate components, and numerical conventions follow those of the </w:t>
      </w:r>
      <w:r>
        <w:rPr>
          <w:rFonts w:hint="eastAsia"/>
        </w:rPr>
        <w:t>provided</w:t>
      </w:r>
      <w:r w:rsidRPr="004D6FCA">
        <w:t xml:space="preserve"> dataset. </w:t>
      </w:r>
    </w:p>
    <w:p w14:paraId="5A1D5E29" w14:textId="77777777" w:rsidR="004D6FCA" w:rsidRDefault="004D6FCA"/>
    <w:p w14:paraId="0A3589D8" w14:textId="77777777" w:rsidR="009A5453" w:rsidRPr="009A5453" w:rsidRDefault="009A5453" w:rsidP="009A5453">
      <w:r>
        <w:t>Each analysis sample consists of the multivariate time series for a</w:t>
      </w:r>
      <w:r w:rsidRPr="009A5453">
        <w:t xml:space="preserve"> particle over the entire recording interval. The same time indices are applied to all the variables in order to ensure that there is correspondence between the different channels. The particle identifiers are kept in order to be able to track the samples and to link the outputs with the original records; they are not employed as input features or as predefined class labels.</w:t>
      </w:r>
    </w:p>
    <w:p w14:paraId="08645E26" w14:textId="42F5D885" w:rsidR="004D6FCA" w:rsidRPr="009A5453" w:rsidRDefault="004D6FCA"/>
    <w:p w14:paraId="314CE180" w14:textId="449ABEBE" w:rsidR="004D6FCA" w:rsidRDefault="009A5453">
      <w:r w:rsidRPr="009A5453">
        <w:t xml:space="preserve">The previous study had mainly based its clustering inputs on the time series of particle position and kinetic energy and had suggested extending the workflow to involve momentum and electromagnetic field information. The current study </w:t>
      </w:r>
      <w:r>
        <w:t xml:space="preserve">follows this approach by modifying the input representation to include these additional particle data types </w:t>
      </w:r>
      <w:r w:rsidRPr="009A5453">
        <w:t>[3].</w:t>
      </w:r>
    </w:p>
    <w:p w14:paraId="0427D8A6" w14:textId="77777777" w:rsidR="009A5453" w:rsidRPr="009A5453" w:rsidRDefault="009A5453"/>
    <w:p w14:paraId="00877D59" w14:textId="41493A43" w:rsidR="004D6FCA" w:rsidRDefault="004D6FCA">
      <w:r w:rsidRPr="004D6FCA">
        <w:t xml:space="preserve">The main configuration uses six input channels: </w:t>
      </w:r>
      <w:r w:rsidRPr="004D6FCA">
        <w:rPr>
          <w:rFonts w:ascii="Cambria Math" w:hAnsi="Cambria Math" w:cs="Cambria Math"/>
        </w:rPr>
        <w:t>𝑥</w:t>
      </w:r>
      <w:r w:rsidRPr="004D6FCA">
        <w:t xml:space="preserve">, </w:t>
      </w:r>
      <w:r w:rsidRPr="004D6FCA">
        <w:rPr>
          <w:rFonts w:ascii="Cambria Math" w:hAnsi="Cambria Math" w:cs="Cambria Math"/>
        </w:rPr>
        <w:t>𝑝𝑥</w:t>
      </w:r>
      <w:r w:rsidRPr="004D6FCA">
        <w:t xml:space="preserve">, </w:t>
      </w:r>
      <w:r w:rsidRPr="004D6FCA">
        <w:rPr>
          <w:rFonts w:ascii="Cambria Math" w:hAnsi="Cambria Math" w:cs="Cambria Math"/>
        </w:rPr>
        <w:t>𝑝𝑦</w:t>
      </w:r>
      <w:r w:rsidRPr="004D6FCA">
        <w:t xml:space="preserve">, </w:t>
      </w:r>
      <w:r w:rsidRPr="004D6FCA">
        <w:rPr>
          <w:rFonts w:ascii="Cambria Math" w:hAnsi="Cambria Math" w:cs="Cambria Math"/>
        </w:rPr>
        <w:t>𝐸𝑥</w:t>
      </w:r>
      <w:r w:rsidRPr="004D6FCA">
        <w:t xml:space="preserve">, </w:t>
      </w:r>
      <w:r w:rsidRPr="004D6FCA">
        <w:rPr>
          <w:rFonts w:ascii="Cambria Math" w:hAnsi="Cambria Math" w:cs="Cambria Math"/>
        </w:rPr>
        <w:t>𝐸𝑦</w:t>
      </w:r>
      <w:r w:rsidRPr="004D6FCA">
        <w:t xml:space="preserve">, and </w:t>
      </w:r>
      <w:r w:rsidRPr="004D6FCA">
        <w:rPr>
          <w:rFonts w:ascii="Cambria Math" w:hAnsi="Cambria Math" w:cs="Cambria Math"/>
        </w:rPr>
        <w:t>𝐵𝑧</w:t>
      </w:r>
      <w:r w:rsidRPr="004D6FCA">
        <w:t xml:space="preserve">, as summarized in Table 1. The available </w:t>
      </w:r>
      <w:r w:rsidRPr="004D6FCA">
        <w:rPr>
          <w:rFonts w:ascii="Cambria Math" w:hAnsi="Cambria Math" w:cs="Cambria Math"/>
        </w:rPr>
        <w:t>𝑝𝑧</w:t>
      </w:r>
      <w:r w:rsidRPr="004D6FCA">
        <w:t xml:space="preserve"> component is not included in this configuration.</w:t>
      </w:r>
    </w:p>
    <w:p w14:paraId="0B69A32C" w14:textId="77777777" w:rsidR="004D6FCA" w:rsidRDefault="004D6FCA"/>
    <w:p w14:paraId="46D9AE14" w14:textId="265D22AE" w:rsidR="004D6FCA" w:rsidRDefault="009A5453">
      <w:r w:rsidRPr="009A5453">
        <w:t xml:space="preserve">In each channel there is the temporal evolution of a single variable, and together the six channels give a description of an individual particle during the recording interval. Since the various variables differ in numerical scale, in the amplitude of their fluctuations, and in their temporal </w:t>
      </w:r>
      <w:r>
        <w:t>behavior, a standard data organization procedure is required, and each channel also needs to be standardized</w:t>
      </w:r>
      <w:r w:rsidRPr="009A5453">
        <w:t>.</w:t>
      </w:r>
    </w:p>
    <w:p w14:paraId="7ABFA8B5" w14:textId="77777777" w:rsidR="009A5453" w:rsidRPr="009A5453" w:rsidRDefault="009A5453"/>
    <w:p w14:paraId="5E907A47" w14:textId="4842D45C" w:rsidR="004D6FCA" w:rsidRDefault="004D6FCA">
      <w:r w:rsidRPr="004D6FCA">
        <w:t>Figure 2 presents the standardized six-channel time series of the first five particles in the dataset. The same color identifies the same particle in every panel. These examples illustrate the input structure and temporal variation across channels; they are not selected as representatives of the resulting clusters.</w:t>
      </w:r>
    </w:p>
    <w:p w14:paraId="7439FB87" w14:textId="77777777" w:rsidR="004D6FCA" w:rsidRDefault="004D6FCA"/>
    <w:p w14:paraId="126FE5CF" w14:textId="77777777" w:rsidR="005F1615" w:rsidRPr="005F1615" w:rsidRDefault="004D6FCA" w:rsidP="005F1615">
      <w:r w:rsidRPr="004D6FCA">
        <w:t xml:space="preserve">The original time array extends from 0 to 2,403,600, with a constant interval of 400 between consecutive records. These values follow the time convention of the supplied dataset. </w:t>
      </w:r>
      <w:r w:rsidR="005F1615" w:rsidRPr="005F1615">
        <w:t>In order to lower the computational cost involved in constructing the spectrogram and training the model, a fixed stride of three is applied to select the records. As a result, 2,004 time points are obtained, with a uniform interval of 1200, and both the first and last recording times are kept for the current dataset.</w:t>
      </w:r>
    </w:p>
    <w:p w14:paraId="0BD758B2" w14:textId="69CFE840" w:rsidR="004D6FCA" w:rsidRDefault="004D6FCA"/>
    <w:p w14:paraId="3EE8E30E" w14:textId="3695BD00" w:rsidR="004D6FCA" w:rsidRDefault="004D6FCA">
      <w:r w:rsidRPr="004D6FCA">
        <w:t>The same sampling indices are applied to every particle and channel</w:t>
      </w:r>
      <w:r w:rsidR="0078478F">
        <w:t xml:space="preserve">, which ensures that the </w:t>
      </w:r>
      <w:r w:rsidR="0078478F">
        <w:lastRenderedPageBreak/>
        <w:t>temporal order and the correspondence between the variables are maintained.</w:t>
      </w:r>
      <w:r w:rsidRPr="004D6FCA">
        <w:t xml:space="preserve"> Sampling selects existing recorded values directly, without interpolation. Each particle is therefore represented by a multichannel time-series array of size 6×2004.</w:t>
      </w:r>
    </w:p>
    <w:p w14:paraId="5823E478" w14:textId="77777777" w:rsidR="004D6FCA" w:rsidRDefault="004D6FCA"/>
    <w:p w14:paraId="58B2F605" w14:textId="70A12111" w:rsidR="004D6FCA" w:rsidRDefault="004D6FCA">
      <w:r w:rsidRPr="004D6FCA">
        <w:t xml:space="preserve">Before </w:t>
      </w:r>
      <w:r w:rsidR="0078478F">
        <w:t>constructing the</w:t>
      </w:r>
      <w:r w:rsidR="0078478F" w:rsidRPr="0078478F">
        <w:t xml:space="preserve"> spectrogram</w:t>
      </w:r>
      <w:r w:rsidRPr="004D6FCA">
        <w:t xml:space="preserve">, </w:t>
      </w:r>
      <w:r w:rsidR="0078478F" w:rsidRPr="0078478F">
        <w:t xml:space="preserve">each </w:t>
      </w:r>
      <w:r w:rsidR="0078478F">
        <w:t>channel is</w:t>
      </w:r>
      <w:r w:rsidR="0078478F" w:rsidRPr="0078478F">
        <w:t xml:space="preserve"> standardized in order to take into account the different numerical scales</w:t>
      </w:r>
      <w:r w:rsidRPr="004D6FCA">
        <w:t xml:space="preserve">. The mean and standard deviation are calculated across all 12,800 particles and all 2,004 selected time points for that channel. Values are then transformed by subtracting the channel mean and dividing by its standard deviation. </w:t>
      </w:r>
      <w:r w:rsidR="0078478F">
        <w:t>All particles within a channel share a single pair of standardization parameters</w:t>
      </w:r>
      <w:r w:rsidRPr="004D6FCA">
        <w:t xml:space="preserve">, rather than normalizing each particle independently. </w:t>
      </w:r>
    </w:p>
    <w:p w14:paraId="44EA574D" w14:textId="77777777" w:rsidR="004D6FCA" w:rsidRDefault="004D6FCA"/>
    <w:p w14:paraId="2EBAD0EC" w14:textId="77777777" w:rsidR="0078478F" w:rsidRPr="0078478F" w:rsidRDefault="004D6FCA" w:rsidP="0078478F">
      <w:r w:rsidRPr="004D6FCA">
        <w:t xml:space="preserve">This procedure </w:t>
      </w:r>
      <w:r w:rsidR="0078478F">
        <w:rPr>
          <w:rFonts w:hint="eastAsia"/>
        </w:rPr>
        <w:t>results in</w:t>
      </w:r>
      <w:r w:rsidRPr="004D6FCA">
        <w:t xml:space="preserve"> dimensionless standardized values </w:t>
      </w:r>
      <w:r w:rsidR="0078478F" w:rsidRPr="0078478F">
        <w:t xml:space="preserve">and at the same </w:t>
      </w:r>
      <w:r w:rsidR="0078478F">
        <w:t>time maintains</w:t>
      </w:r>
      <w:r w:rsidR="0078478F" w:rsidRPr="0078478F">
        <w:t xml:space="preserve"> the</w:t>
      </w:r>
      <w:r w:rsidRPr="004D6FCA">
        <w:t xml:space="preserve"> relative amplitude differences between particles within the same channel. </w:t>
      </w:r>
      <w:r w:rsidR="0078478F" w:rsidRPr="0078478F">
        <w:t>The time series in Figure 2 employ the same standardization parameters as those used for the construction of the spectrogram. Since these parameters are based on the whole analysis dataset, this preprocessing setup allows for exploratory clustering of the given dataset.</w:t>
      </w:r>
    </w:p>
    <w:p w14:paraId="375E600D" w14:textId="4FEDB4EA" w:rsidR="004D6FCA" w:rsidRDefault="004D6FCA"/>
    <w:p w14:paraId="1B54A7D2" w14:textId="77777777" w:rsidR="004D6FCA" w:rsidRDefault="004D6FCA"/>
    <w:p w14:paraId="377CA477" w14:textId="77777777" w:rsidR="00DA521C" w:rsidRPr="00DA521C" w:rsidRDefault="004D6FCA" w:rsidP="00DA521C">
      <w:r w:rsidRPr="004D6FCA">
        <w:t xml:space="preserve">The standardized time series are converted into log-magnitude spectrograms separately for each channel. </w:t>
      </w:r>
      <w:r w:rsidR="00DA521C" w:rsidRPr="00DA521C">
        <w:t xml:space="preserve">After they have been resized and </w:t>
      </w:r>
      <w:r w:rsidR="00DA521C">
        <w:t>standardized</w:t>
      </w:r>
      <w:r w:rsidR="00DA521C" w:rsidRPr="00DA521C">
        <w:t xml:space="preserve"> on a channel-by-channel basis in the spectrogram domain</w:t>
      </w:r>
      <w:r w:rsidRPr="004D6FCA">
        <w:t xml:space="preserve">, the resulting arrays form the input to the convolutional autoencoder. Each channel is represented on a 33 × 60 grid, </w:t>
      </w:r>
      <w:r w:rsidR="00DA521C" w:rsidRPr="00DA521C">
        <w:t>so that the input tensor has dimensions 6 × 33 × 60 for each particle.</w:t>
      </w:r>
    </w:p>
    <w:p w14:paraId="59BDF153" w14:textId="43BE49BD" w:rsidR="004D6FCA" w:rsidRDefault="004D6FCA"/>
    <w:p w14:paraId="675A93ED" w14:textId="23FA78D6" w:rsidR="004D6FCA" w:rsidRDefault="00DA521C">
      <w:r w:rsidRPr="00DA521C">
        <w:t>The six channels relate to the variables that have been selected, and the two other dimensions refer to the resized frequency and time axes. Together, these dimensions define the input grid for the network and do not indicate the actual number of independent frequency bins and time windows in the original transform. The spectrogram computation employs a sampling frequency of one, with frequency expressed in cycles per sampled point. Details regarding the transform parameters and the resizing procedure can be found in the methodology section.</w:t>
      </w:r>
    </w:p>
    <w:p w14:paraId="51F97D77" w14:textId="77777777" w:rsidR="00DA521C" w:rsidRPr="00DA521C" w:rsidRDefault="00DA521C"/>
    <w:p w14:paraId="4A228F5A" w14:textId="2782216F" w:rsidR="004D6FCA" w:rsidRDefault="00DA521C">
      <w:r w:rsidRPr="00DA521C">
        <w:t>The aim of the clustering task is to divide up the particle trajectories into groups by means of these multichannel representations when no predefined class labels are available. By considering each individual trajectory as a sample and then grouping them using feature extraction and clustering, the general task formulation used in earlier PIC trajectory classification studies [1] is followed.</w:t>
      </w:r>
    </w:p>
    <w:p w14:paraId="0BA03319" w14:textId="77777777" w:rsidR="00DA521C" w:rsidRDefault="00DA521C"/>
    <w:p w14:paraId="179BE065" w14:textId="10CA88F2" w:rsidR="004D6FCA" w:rsidRDefault="00DA521C">
      <w:r w:rsidRPr="00DA521C">
        <w:t>For the entire analysis interval, each particle is given a single final cluster label and does not receive separate labels for each temporal segment. The cluster indices indicate the various groups formed and have no predefined class names or order. The convolutional autoencoder learns a low-dimensional representation, after which this representation is used for both cluster initialization and refinement. In this report, the spectrogram-based approach determines</w:t>
      </w:r>
      <w:r>
        <w:rPr>
          <w:rFonts w:hint="eastAsia"/>
        </w:rPr>
        <w:t xml:space="preserve"> </w:t>
      </w:r>
      <w:r w:rsidR="004D6FCA" w:rsidRPr="004D6FCA">
        <w:t xml:space="preserve">the number of clusters within the candidate range </w:t>
      </w:r>
      <w:r w:rsidR="004D6FCA" w:rsidRPr="004D6FCA">
        <w:rPr>
          <w:rFonts w:ascii="Cambria Math" w:hAnsi="Cambria Math" w:cs="Cambria Math"/>
        </w:rPr>
        <w:t>𝐾</w:t>
      </w:r>
      <w:r w:rsidR="004D6FCA" w:rsidRPr="004D6FCA">
        <w:t xml:space="preserve"> = </w:t>
      </w:r>
      <w:proofErr w:type="gramStart"/>
      <w:r w:rsidR="004D6FCA" w:rsidRPr="004D6FCA">
        <w:t>2,.</w:t>
      </w:r>
      <w:proofErr w:type="gramEnd"/>
      <w:r w:rsidR="004D6FCA" w:rsidRPr="004D6FCA">
        <w:t xml:space="preserve"> </w:t>
      </w:r>
      <w:proofErr w:type="gramStart"/>
      <w:r w:rsidR="004D6FCA" w:rsidRPr="004D6FCA">
        <w:t>.</w:t>
      </w:r>
      <w:proofErr w:type="gramEnd"/>
      <w:r w:rsidR="004D6FCA" w:rsidRPr="004D6FCA">
        <w:t xml:space="preserve">,12 using an elbow </w:t>
      </w:r>
      <w:r w:rsidR="004D6FCA" w:rsidRPr="004D6FCA">
        <w:lastRenderedPageBreak/>
        <w:t xml:space="preserve">criterion; the selected value, </w:t>
      </w:r>
      <w:r w:rsidR="004D6FCA" w:rsidRPr="004D6FCA">
        <w:rPr>
          <w:rFonts w:ascii="Cambria Math" w:hAnsi="Cambria Math" w:cs="Cambria Math"/>
        </w:rPr>
        <w:t>𝐾</w:t>
      </w:r>
      <w:r w:rsidR="004D6FCA" w:rsidRPr="004D6FCA">
        <w:t xml:space="preserve"> = 5, is then fixed for both reference methods.</w:t>
      </w:r>
    </w:p>
    <w:p w14:paraId="47C9CBD1" w14:textId="77777777" w:rsidR="004D6FCA" w:rsidRDefault="004D6FCA"/>
    <w:p w14:paraId="384B50C2" w14:textId="77777777" w:rsidR="008247A1" w:rsidRPr="008247A1" w:rsidRDefault="004D6FCA" w:rsidP="008247A1">
      <w:r w:rsidRPr="004D6FCA">
        <w:t xml:space="preserve">Because reference class labels are </w:t>
      </w:r>
      <w:r w:rsidR="00DA521C">
        <w:rPr>
          <w:rFonts w:hint="eastAsia"/>
        </w:rPr>
        <w:t xml:space="preserve">not </w:t>
      </w:r>
      <w:r w:rsidRPr="004D6FCA">
        <w:t xml:space="preserve">available, </w:t>
      </w:r>
      <w:r w:rsidR="008247A1" w:rsidRPr="008247A1">
        <w:t>the clustering is evaluated by</w:t>
      </w:r>
      <w:r w:rsidRPr="004D6FCA">
        <w:t xml:space="preserve"> internal validation,</w:t>
      </w:r>
      <w:r w:rsidR="008247A1">
        <w:rPr>
          <w:rFonts w:hint="eastAsia"/>
        </w:rPr>
        <w:t xml:space="preserve"> </w:t>
      </w:r>
      <w:r w:rsidR="008247A1">
        <w:t xml:space="preserve">with </w:t>
      </w:r>
      <w:r w:rsidRPr="004D6FCA">
        <w:t>the silhouette score serving as the primary metric.</w:t>
      </w:r>
      <w:r w:rsidR="008247A1" w:rsidRPr="008247A1">
        <w:t xml:space="preserve"> This score compares, for each sample, the average distance to </w:t>
      </w:r>
      <w:r w:rsidR="008247A1">
        <w:t>the other</w:t>
      </w:r>
      <w:r w:rsidR="008247A1" w:rsidRPr="008247A1">
        <w:t xml:space="preserve"> samples in its own cluster with the average distance to the samples in the nearest </w:t>
      </w:r>
      <w:r w:rsidR="008247A1">
        <w:t>neighboring</w:t>
      </w:r>
      <w:r w:rsidR="008247A1" w:rsidRPr="008247A1">
        <w:t xml:space="preserve"> cluster, </w:t>
      </w:r>
      <w:r w:rsidR="008247A1">
        <w:t>thus measuring</w:t>
      </w:r>
      <w:r w:rsidR="008247A1" w:rsidRPr="008247A1">
        <w:t xml:space="preserve"> the degree of cohesion within clusters and the level of separation between clusters [4]</w:t>
      </w:r>
      <w:r w:rsidR="008247A1">
        <w:t>.</w:t>
      </w:r>
      <w:r w:rsidRPr="004D6FCA">
        <w:t xml:space="preserve"> Silhouette </w:t>
      </w:r>
      <w:r>
        <w:t xml:space="preserve">scores are computed </w:t>
      </w:r>
      <w:r w:rsidR="008247A1">
        <w:rPr>
          <w:rFonts w:hint="eastAsia"/>
        </w:rPr>
        <w:t>by</w:t>
      </w:r>
      <w:r>
        <w:t xml:space="preserve"> Euclidean distances in the learned latent space, with subsampling</w:t>
      </w:r>
      <w:r w:rsidRPr="004D6FCA">
        <w:t xml:space="preserve"> to limit computational cost. Higher </w:t>
      </w:r>
      <w:r w:rsidR="008247A1">
        <w:rPr>
          <w:rFonts w:hint="eastAsia"/>
        </w:rPr>
        <w:t>silhouette</w:t>
      </w:r>
      <w:r w:rsidRPr="004D6FCA">
        <w:t xml:space="preserve"> </w:t>
      </w:r>
      <w:r w:rsidR="008247A1">
        <w:t xml:space="preserve">scores </w:t>
      </w:r>
      <w:r w:rsidRPr="004D6FCA">
        <w:t xml:space="preserve">indicate more compact and separated groups under the chosen representation and distance metric. </w:t>
      </w:r>
      <w:r w:rsidR="008247A1" w:rsidRPr="008247A1">
        <w:t>Although the score does describe the structure of the clustering, it is not to be interpreted as a measure of classification accuracy relative to the ground-truth labels.</w:t>
      </w:r>
    </w:p>
    <w:p w14:paraId="5F2ED51B" w14:textId="781034E5" w:rsidR="004D6FCA" w:rsidRPr="008247A1" w:rsidRDefault="004D6FCA">
      <w:pPr>
        <w:rPr>
          <w:rFonts w:hint="eastAsia"/>
        </w:rPr>
      </w:pPr>
      <w:r w:rsidRPr="004D6FCA">
        <w:t xml:space="preserve"> </w:t>
      </w:r>
    </w:p>
    <w:p w14:paraId="5FD6E78D" w14:textId="77777777" w:rsidR="008247A1" w:rsidRPr="008247A1" w:rsidRDefault="008247A1" w:rsidP="008247A1">
      <w:r w:rsidRPr="008247A1">
        <w:t>Reconstruction errors offer additional information concerning the model's capability to reproduce its inputs, cluster size distributions show how the particles are distributed among the various groups, and PCA and t-SNE visualizations help in displaying the learned feature structure. The detailed evaluation settings and the quantitative results are given in the experimental section.</w:t>
      </w:r>
    </w:p>
    <w:p w14:paraId="58E3D079" w14:textId="13F958F8" w:rsidR="004D6FCA" w:rsidRPr="004D6FCA" w:rsidRDefault="004D6FCA" w:rsidP="008247A1">
      <w:pPr>
        <w:rPr>
          <w:rFonts w:hint="eastAsia"/>
        </w:rPr>
      </w:pPr>
    </w:p>
    <w:sectPr w:rsidR="004D6FCA" w:rsidRPr="004D6F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2A"/>
    <w:rsid w:val="000C6A68"/>
    <w:rsid w:val="004D6FCA"/>
    <w:rsid w:val="005F1615"/>
    <w:rsid w:val="0078478F"/>
    <w:rsid w:val="008247A1"/>
    <w:rsid w:val="009A5453"/>
    <w:rsid w:val="009C7301"/>
    <w:rsid w:val="00A83E2A"/>
    <w:rsid w:val="00DA521C"/>
    <w:rsid w:val="00FB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40112"/>
  <w15:chartTrackingRefBased/>
  <w15:docId w15:val="{2067A5E7-A75E-46EB-BEF2-107E969CB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3E2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3E2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3E2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3E2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3E2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83E2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3E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3E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3E2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3E2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83E2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3E2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3E2A"/>
    <w:rPr>
      <w:rFonts w:cstheme="majorBidi"/>
      <w:color w:val="2F5496" w:themeColor="accent1" w:themeShade="BF"/>
      <w:sz w:val="28"/>
      <w:szCs w:val="28"/>
    </w:rPr>
  </w:style>
  <w:style w:type="character" w:customStyle="1" w:styleId="50">
    <w:name w:val="标题 5 字符"/>
    <w:basedOn w:val="a0"/>
    <w:link w:val="5"/>
    <w:uiPriority w:val="9"/>
    <w:semiHidden/>
    <w:rsid w:val="00A83E2A"/>
    <w:rPr>
      <w:rFonts w:cstheme="majorBidi"/>
      <w:color w:val="2F5496" w:themeColor="accent1" w:themeShade="BF"/>
      <w:sz w:val="24"/>
      <w:szCs w:val="24"/>
    </w:rPr>
  </w:style>
  <w:style w:type="character" w:customStyle="1" w:styleId="60">
    <w:name w:val="标题 6 字符"/>
    <w:basedOn w:val="a0"/>
    <w:link w:val="6"/>
    <w:uiPriority w:val="9"/>
    <w:semiHidden/>
    <w:rsid w:val="00A83E2A"/>
    <w:rPr>
      <w:rFonts w:cstheme="majorBidi"/>
      <w:b/>
      <w:bCs/>
      <w:color w:val="2F5496" w:themeColor="accent1" w:themeShade="BF"/>
    </w:rPr>
  </w:style>
  <w:style w:type="character" w:customStyle="1" w:styleId="70">
    <w:name w:val="标题 7 字符"/>
    <w:basedOn w:val="a0"/>
    <w:link w:val="7"/>
    <w:uiPriority w:val="9"/>
    <w:semiHidden/>
    <w:rsid w:val="00A83E2A"/>
    <w:rPr>
      <w:rFonts w:cstheme="majorBidi"/>
      <w:b/>
      <w:bCs/>
      <w:color w:val="595959" w:themeColor="text1" w:themeTint="A6"/>
    </w:rPr>
  </w:style>
  <w:style w:type="character" w:customStyle="1" w:styleId="80">
    <w:name w:val="标题 8 字符"/>
    <w:basedOn w:val="a0"/>
    <w:link w:val="8"/>
    <w:uiPriority w:val="9"/>
    <w:semiHidden/>
    <w:rsid w:val="00A83E2A"/>
    <w:rPr>
      <w:rFonts w:cstheme="majorBidi"/>
      <w:color w:val="595959" w:themeColor="text1" w:themeTint="A6"/>
    </w:rPr>
  </w:style>
  <w:style w:type="character" w:customStyle="1" w:styleId="90">
    <w:name w:val="标题 9 字符"/>
    <w:basedOn w:val="a0"/>
    <w:link w:val="9"/>
    <w:uiPriority w:val="9"/>
    <w:semiHidden/>
    <w:rsid w:val="00A83E2A"/>
    <w:rPr>
      <w:rFonts w:eastAsiaTheme="majorEastAsia" w:cstheme="majorBidi"/>
      <w:color w:val="595959" w:themeColor="text1" w:themeTint="A6"/>
    </w:rPr>
  </w:style>
  <w:style w:type="paragraph" w:styleId="a3">
    <w:name w:val="Title"/>
    <w:basedOn w:val="a"/>
    <w:next w:val="a"/>
    <w:link w:val="a4"/>
    <w:uiPriority w:val="10"/>
    <w:qFormat/>
    <w:rsid w:val="00A83E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3E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3E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3E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3E2A"/>
    <w:pPr>
      <w:spacing w:before="160" w:after="160"/>
      <w:jc w:val="center"/>
    </w:pPr>
    <w:rPr>
      <w:i/>
      <w:iCs/>
      <w:color w:val="404040" w:themeColor="text1" w:themeTint="BF"/>
    </w:rPr>
  </w:style>
  <w:style w:type="character" w:customStyle="1" w:styleId="a8">
    <w:name w:val="引用 字符"/>
    <w:basedOn w:val="a0"/>
    <w:link w:val="a7"/>
    <w:uiPriority w:val="29"/>
    <w:rsid w:val="00A83E2A"/>
    <w:rPr>
      <w:i/>
      <w:iCs/>
      <w:color w:val="404040" w:themeColor="text1" w:themeTint="BF"/>
    </w:rPr>
  </w:style>
  <w:style w:type="paragraph" w:styleId="a9">
    <w:name w:val="List Paragraph"/>
    <w:basedOn w:val="a"/>
    <w:uiPriority w:val="34"/>
    <w:qFormat/>
    <w:rsid w:val="00A83E2A"/>
    <w:pPr>
      <w:ind w:left="720"/>
      <w:contextualSpacing/>
    </w:pPr>
  </w:style>
  <w:style w:type="character" w:styleId="aa">
    <w:name w:val="Intense Emphasis"/>
    <w:basedOn w:val="a0"/>
    <w:uiPriority w:val="21"/>
    <w:qFormat/>
    <w:rsid w:val="00A83E2A"/>
    <w:rPr>
      <w:i/>
      <w:iCs/>
      <w:color w:val="2F5496" w:themeColor="accent1" w:themeShade="BF"/>
    </w:rPr>
  </w:style>
  <w:style w:type="paragraph" w:styleId="ab">
    <w:name w:val="Intense Quote"/>
    <w:basedOn w:val="a"/>
    <w:next w:val="a"/>
    <w:link w:val="ac"/>
    <w:uiPriority w:val="30"/>
    <w:qFormat/>
    <w:rsid w:val="00A83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3E2A"/>
    <w:rPr>
      <w:i/>
      <w:iCs/>
      <w:color w:val="2F5496" w:themeColor="accent1" w:themeShade="BF"/>
    </w:rPr>
  </w:style>
  <w:style w:type="character" w:styleId="ad">
    <w:name w:val="Intense Reference"/>
    <w:basedOn w:val="a0"/>
    <w:uiPriority w:val="32"/>
    <w:qFormat/>
    <w:rsid w:val="00A83E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1108</Words>
  <Characters>6318</Characters>
  <Application>Microsoft Office Word</Application>
  <DocSecurity>0</DocSecurity>
  <Lines>52</Lines>
  <Paragraphs>14</Paragraphs>
  <ScaleCrop>false</ScaleCrop>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2</cp:revision>
  <dcterms:created xsi:type="dcterms:W3CDTF">2026-09-29T13:16:00Z</dcterms:created>
  <dcterms:modified xsi:type="dcterms:W3CDTF">2026-09-29T14:26:00Z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d52ac297e7739bc094cf9becdc0186f3ce0c0901805533119d9e67ea32dab3b7</vt:lpwstr>
  </property>
</Properties>
</file>